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81E4C1" w14:textId="12F958FA" w:rsidR="009915F0" w:rsidRPr="009915F0"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3GPP TSG RAN WG1 #10</w:t>
      </w:r>
      <w:r w:rsidR="001B79C3">
        <w:rPr>
          <w:rFonts w:ascii="Arial" w:hAnsi="Arial" w:cs="Arial"/>
          <w:b/>
          <w:sz w:val="24"/>
          <w:lang w:val="en-US"/>
        </w:rPr>
        <w:t>6bis-e</w:t>
      </w:r>
      <w:r w:rsidRPr="009915F0">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833E16" w:rsidRPr="00833E16">
        <w:rPr>
          <w:rFonts w:ascii="Arial" w:hAnsi="Arial" w:cs="Arial"/>
          <w:b/>
          <w:sz w:val="24"/>
          <w:lang w:val="en-US"/>
        </w:rPr>
        <w:t>R1-21</w:t>
      </w:r>
      <w:r w:rsidR="005E3FB3">
        <w:rPr>
          <w:rFonts w:ascii="Arial" w:hAnsi="Arial" w:cs="Arial"/>
          <w:b/>
          <w:sz w:val="24"/>
          <w:lang w:val="en-US"/>
        </w:rPr>
        <w:t>09654</w:t>
      </w:r>
    </w:p>
    <w:p w14:paraId="0203B661" w14:textId="11EAC2B9" w:rsidR="002D08B9"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 xml:space="preserve">e-Meeting, </w:t>
      </w:r>
      <w:r w:rsidR="001B79C3">
        <w:rPr>
          <w:rFonts w:ascii="Arial" w:hAnsi="Arial" w:cs="Arial"/>
          <w:b/>
          <w:sz w:val="24"/>
          <w:lang w:val="en-US"/>
        </w:rPr>
        <w:t>October</w:t>
      </w:r>
      <w:r w:rsidRPr="009915F0">
        <w:rPr>
          <w:rFonts w:ascii="Arial" w:hAnsi="Arial" w:cs="Arial"/>
          <w:b/>
          <w:sz w:val="24"/>
          <w:lang w:val="en-US"/>
        </w:rPr>
        <w:t xml:space="preserve"> </w:t>
      </w:r>
      <w:r w:rsidR="001B79C3">
        <w:rPr>
          <w:rFonts w:ascii="Arial" w:hAnsi="Arial" w:cs="Arial"/>
          <w:b/>
          <w:sz w:val="24"/>
          <w:lang w:val="en-US"/>
        </w:rPr>
        <w:t>11</w:t>
      </w:r>
      <w:r w:rsidR="001B79C3" w:rsidRPr="001B79C3">
        <w:rPr>
          <w:rFonts w:ascii="Arial" w:hAnsi="Arial" w:cs="Arial"/>
          <w:b/>
          <w:sz w:val="24"/>
          <w:vertAlign w:val="superscript"/>
          <w:lang w:val="en-US"/>
        </w:rPr>
        <w:t>th</w:t>
      </w:r>
      <w:r w:rsidR="001B79C3">
        <w:rPr>
          <w:rFonts w:ascii="Arial" w:hAnsi="Arial" w:cs="Arial"/>
          <w:b/>
          <w:sz w:val="24"/>
          <w:lang w:val="en-US"/>
        </w:rPr>
        <w:t xml:space="preserve"> </w:t>
      </w:r>
      <w:r w:rsidRPr="009915F0">
        <w:rPr>
          <w:rFonts w:ascii="Arial" w:hAnsi="Arial" w:cs="Arial"/>
          <w:b/>
          <w:sz w:val="24"/>
          <w:lang w:val="en-US"/>
        </w:rPr>
        <w:t xml:space="preserve">– </w:t>
      </w:r>
      <w:r w:rsidR="001B79C3">
        <w:rPr>
          <w:rFonts w:ascii="Arial" w:hAnsi="Arial" w:cs="Arial"/>
          <w:b/>
          <w:sz w:val="24"/>
          <w:lang w:val="en-US"/>
        </w:rPr>
        <w:t>19</w:t>
      </w:r>
      <w:r w:rsidR="001B79C3" w:rsidRPr="001B79C3">
        <w:rPr>
          <w:rFonts w:ascii="Arial" w:hAnsi="Arial" w:cs="Arial"/>
          <w:b/>
          <w:sz w:val="24"/>
          <w:vertAlign w:val="superscript"/>
          <w:lang w:val="en-US"/>
        </w:rPr>
        <w:t>th</w:t>
      </w:r>
      <w:r w:rsidRPr="009915F0">
        <w:rPr>
          <w:rFonts w:ascii="Arial" w:hAnsi="Arial" w:cs="Arial"/>
          <w:b/>
          <w:sz w:val="24"/>
          <w:lang w:val="en-US"/>
        </w:rPr>
        <w:t>, 202</w:t>
      </w:r>
      <w:r w:rsidR="001B79C3">
        <w:rPr>
          <w:rFonts w:ascii="Arial" w:hAnsi="Arial" w:cs="Arial"/>
          <w:b/>
          <w:sz w:val="24"/>
          <w:lang w:val="en-US"/>
        </w:rPr>
        <w:t>1</w:t>
      </w:r>
    </w:p>
    <w:p w14:paraId="5159E539" w14:textId="77777777" w:rsidR="009915F0" w:rsidRPr="009915F0" w:rsidRDefault="009915F0" w:rsidP="009915F0">
      <w:pPr>
        <w:tabs>
          <w:tab w:val="left" w:pos="1985"/>
        </w:tabs>
        <w:spacing w:after="0"/>
        <w:jc w:val="both"/>
        <w:rPr>
          <w:rFonts w:ascii="Arial" w:hAnsi="Arial" w:cs="Arial"/>
          <w:b/>
          <w:sz w:val="24"/>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E99921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762AE">
        <w:rPr>
          <w:rFonts w:ascii="Arial" w:eastAsia="Malgun Gothic" w:hAnsi="Arial" w:cs="Arial"/>
          <w:b/>
          <w:sz w:val="24"/>
          <w:lang w:val="en-US" w:eastAsia="ko-KR"/>
        </w:rPr>
        <w:t xml:space="preserve">UE features for </w:t>
      </w:r>
      <w:r w:rsidR="00077484" w:rsidRPr="00077484">
        <w:rPr>
          <w:rFonts w:ascii="Arial" w:eastAsia="Malgun Gothic" w:hAnsi="Arial" w:cs="Arial"/>
          <w:b/>
          <w:sz w:val="24"/>
          <w:lang w:val="en-US" w:eastAsia="ko-KR"/>
        </w:rPr>
        <w:t>IOT over NTN</w:t>
      </w:r>
    </w:p>
    <w:p w14:paraId="442797E2" w14:textId="1EC64896"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516E1F">
        <w:rPr>
          <w:rFonts w:ascii="Arial" w:hAnsi="Arial" w:cs="Arial"/>
          <w:b/>
          <w:sz w:val="24"/>
          <w:lang w:val="en-US"/>
        </w:rPr>
        <w:t>8.17.</w:t>
      </w:r>
      <w:r w:rsidR="00D824B0">
        <w:rPr>
          <w:rFonts w:ascii="Arial" w:hAnsi="Arial" w:cs="Arial"/>
          <w:b/>
          <w:sz w:val="24"/>
          <w:lang w:val="en-US"/>
        </w:rPr>
        <w:t>1</w:t>
      </w:r>
      <w:r w:rsidR="00792FCA">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3B33BDD5" w14:textId="77777777" w:rsidR="00CD45E3" w:rsidRDefault="00CD45E3" w:rsidP="00CD45E3">
      <w:pPr>
        <w:pStyle w:val="Heading1"/>
        <w:numPr>
          <w:ilvl w:val="0"/>
          <w:numId w:val="5"/>
        </w:numPr>
        <w:spacing w:before="120" w:after="60"/>
        <w:jc w:val="both"/>
        <w:rPr>
          <w:rFonts w:cs="Arial"/>
          <w:lang w:val="en-US"/>
        </w:rPr>
      </w:pPr>
      <w:r>
        <w:rPr>
          <w:rFonts w:cs="Arial"/>
          <w:lang w:val="en-US"/>
        </w:rPr>
        <w:t>Introduction</w:t>
      </w:r>
    </w:p>
    <w:p w14:paraId="4B065B1C" w14:textId="02E84421" w:rsidR="00CD45E3" w:rsidRDefault="00111241" w:rsidP="00111241">
      <w:pPr>
        <w:jc w:val="both"/>
        <w:rPr>
          <w:sz w:val="22"/>
          <w:lang w:val="en-US" w:eastAsia="zh-CN"/>
        </w:rPr>
      </w:pPr>
      <w:r>
        <w:rPr>
          <w:sz w:val="22"/>
          <w:lang w:val="en-US" w:eastAsia="zh-CN"/>
        </w:rPr>
        <w:t xml:space="preserve">In this contribution, we provide discussion on UE features for </w:t>
      </w:r>
      <w:r w:rsidR="00A04CE3">
        <w:rPr>
          <w:sz w:val="22"/>
          <w:lang w:val="en-US" w:eastAsia="zh-CN"/>
        </w:rPr>
        <w:t>IoT-</w:t>
      </w:r>
      <w:r>
        <w:rPr>
          <w:sz w:val="22"/>
          <w:lang w:val="en-US" w:eastAsia="zh-CN"/>
        </w:rPr>
        <w:t xml:space="preserve">NTN based on the latest proposal in [1]. Table with the details on UE features for </w:t>
      </w:r>
      <w:r w:rsidR="00A04CE3">
        <w:rPr>
          <w:sz w:val="22"/>
          <w:lang w:val="en-US" w:eastAsia="zh-CN"/>
        </w:rPr>
        <w:t>IoT-</w:t>
      </w:r>
      <w:r>
        <w:rPr>
          <w:sz w:val="22"/>
          <w:lang w:val="en-US" w:eastAsia="zh-CN"/>
        </w:rPr>
        <w:t>NTN is captured in the Appendix (copied from [1] with proposed changes highlighted by red font).</w:t>
      </w:r>
    </w:p>
    <w:p w14:paraId="4DE22CFE" w14:textId="557DAB88" w:rsidR="00CD45E3" w:rsidRDefault="00CD45E3" w:rsidP="00CD45E3">
      <w:pPr>
        <w:pStyle w:val="Heading1"/>
        <w:numPr>
          <w:ilvl w:val="0"/>
          <w:numId w:val="5"/>
        </w:numPr>
        <w:pBdr>
          <w:top w:val="single" w:sz="12" w:space="4" w:color="auto"/>
        </w:pBdr>
        <w:rPr>
          <w:rFonts w:cs="Arial"/>
          <w:lang w:val="en-US"/>
        </w:rPr>
      </w:pPr>
      <w:r>
        <w:rPr>
          <w:rFonts w:cs="Arial"/>
          <w:lang w:val="en-US"/>
        </w:rPr>
        <w:t>Discussion</w:t>
      </w:r>
    </w:p>
    <w:p w14:paraId="7EC37B26" w14:textId="4849494D" w:rsidR="00A2598F" w:rsidRPr="00A2598F" w:rsidRDefault="004C7E12" w:rsidP="004C7E12">
      <w:pPr>
        <w:jc w:val="both"/>
        <w:rPr>
          <w:sz w:val="22"/>
          <w:szCs w:val="22"/>
          <w:lang w:val="en-US"/>
        </w:rPr>
      </w:pPr>
      <w:r>
        <w:rPr>
          <w:sz w:val="22"/>
          <w:szCs w:val="22"/>
        </w:rPr>
        <w:t xml:space="preserve">According to [1] it is considered to make certain UE features for IoT- NTN mandatory for the UE without any capability signalling. This make sense if UE is connecting to a IoT-NTN cell. However, if UE is connecting to terrestrial cell it should be clear that the mandatory UE capabilities are not applicable for this case. </w:t>
      </w:r>
      <w:proofErr w:type="gramStart"/>
      <w:r>
        <w:rPr>
          <w:sz w:val="22"/>
          <w:szCs w:val="22"/>
        </w:rPr>
        <w:t>In order to</w:t>
      </w:r>
      <w:proofErr w:type="gramEnd"/>
      <w:r>
        <w:rPr>
          <w:sz w:val="22"/>
          <w:szCs w:val="22"/>
        </w:rPr>
        <w:t xml:space="preserve"> clarify that a note can be added with the following text “This UE feature group is applicable only for IoT-NTN cell, for terrestrial cell this feature is not supported”. </w:t>
      </w:r>
    </w:p>
    <w:p w14:paraId="512A6170" w14:textId="32DB4AE8" w:rsidR="008C0D73" w:rsidRPr="008C0D73" w:rsidRDefault="006C6B5C" w:rsidP="00A2598F">
      <w:pPr>
        <w:rPr>
          <w:sz w:val="22"/>
          <w:szCs w:val="22"/>
          <w:lang w:val="en-US"/>
        </w:rPr>
      </w:pPr>
      <w:r>
        <w:rPr>
          <w:sz w:val="22"/>
          <w:szCs w:val="22"/>
          <w:lang w:val="en-US"/>
        </w:rPr>
        <w:t xml:space="preserve">In our view FG 2-6 can be removed until details on UE behavior w.r.t. validity timer </w:t>
      </w:r>
      <w:r w:rsidR="00102671">
        <w:rPr>
          <w:sz w:val="22"/>
          <w:szCs w:val="22"/>
          <w:lang w:val="en-US"/>
        </w:rPr>
        <w:t>are</w:t>
      </w:r>
      <w:r>
        <w:rPr>
          <w:sz w:val="22"/>
          <w:szCs w:val="22"/>
          <w:lang w:val="en-US"/>
        </w:rPr>
        <w:t xml:space="preserve"> clear. </w:t>
      </w:r>
      <w:r w:rsidR="00B24B9E">
        <w:rPr>
          <w:sz w:val="22"/>
          <w:szCs w:val="22"/>
          <w:lang w:val="en-US"/>
        </w:rPr>
        <w:t xml:space="preserve">Depending on the RAN1 </w:t>
      </w:r>
      <w:r w:rsidR="00312A91">
        <w:rPr>
          <w:sz w:val="22"/>
          <w:szCs w:val="22"/>
          <w:lang w:val="en-US"/>
        </w:rPr>
        <w:t>agreements</w:t>
      </w:r>
      <w:r w:rsidR="00B24B9E">
        <w:rPr>
          <w:sz w:val="22"/>
          <w:szCs w:val="22"/>
          <w:lang w:val="en-US"/>
        </w:rPr>
        <w:t xml:space="preserve">, </w:t>
      </w:r>
      <w:r w:rsidR="00312A91">
        <w:rPr>
          <w:sz w:val="22"/>
          <w:szCs w:val="22"/>
          <w:lang w:val="en-US"/>
        </w:rPr>
        <w:t xml:space="preserve">validity time can be considered as assistance information for the UE </w:t>
      </w:r>
      <w:proofErr w:type="gramStart"/>
      <w:r w:rsidR="00312A91">
        <w:rPr>
          <w:sz w:val="22"/>
          <w:szCs w:val="22"/>
          <w:lang w:val="en-US"/>
        </w:rPr>
        <w:t>in order to</w:t>
      </w:r>
      <w:proofErr w:type="gramEnd"/>
      <w:r w:rsidR="00312A91">
        <w:rPr>
          <w:sz w:val="22"/>
          <w:szCs w:val="22"/>
          <w:lang w:val="en-US"/>
        </w:rPr>
        <w:t xml:space="preserve"> </w:t>
      </w:r>
      <w:r w:rsidR="00B0653A">
        <w:rPr>
          <w:sz w:val="22"/>
          <w:szCs w:val="22"/>
          <w:lang w:val="en-US"/>
        </w:rPr>
        <w:t>refine system information update periodicity.</w:t>
      </w:r>
      <w:r w:rsidR="00D11F59">
        <w:rPr>
          <w:sz w:val="22"/>
          <w:szCs w:val="22"/>
          <w:lang w:val="en-US"/>
        </w:rPr>
        <w:t xml:space="preserve"> In this case separate UE feature for validity time may not be needed.</w:t>
      </w:r>
    </w:p>
    <w:p w14:paraId="4A41C859" w14:textId="7114A5FF" w:rsidR="00B80D06" w:rsidRDefault="00B80D06" w:rsidP="00B80D06">
      <w:pPr>
        <w:pStyle w:val="Heading1"/>
        <w:numPr>
          <w:ilvl w:val="0"/>
          <w:numId w:val="5"/>
        </w:numPr>
      </w:pPr>
      <w:r>
        <w:t>Conclusion</w:t>
      </w:r>
    </w:p>
    <w:p w14:paraId="31B36024" w14:textId="2106F202" w:rsidR="0046537B" w:rsidRDefault="0046537B" w:rsidP="0046537B">
      <w:pPr>
        <w:jc w:val="both"/>
        <w:rPr>
          <w:sz w:val="22"/>
          <w:szCs w:val="22"/>
        </w:rPr>
      </w:pPr>
      <w:r>
        <w:rPr>
          <w:sz w:val="22"/>
          <w:szCs w:val="22"/>
        </w:rPr>
        <w:t>In this contribution, we provide discussion on UE features for IoT-NTN. The following proposal is made.</w:t>
      </w:r>
    </w:p>
    <w:p w14:paraId="497C006C" w14:textId="77777777" w:rsidR="0046537B" w:rsidRPr="00654293" w:rsidRDefault="0046537B" w:rsidP="0046537B">
      <w:pPr>
        <w:jc w:val="both"/>
        <w:rPr>
          <w:i/>
          <w:iCs/>
          <w:sz w:val="22"/>
          <w:szCs w:val="22"/>
        </w:rPr>
      </w:pPr>
      <w:r w:rsidRPr="00654293">
        <w:rPr>
          <w:b/>
          <w:bCs/>
          <w:i/>
          <w:iCs/>
          <w:sz w:val="22"/>
          <w:szCs w:val="22"/>
        </w:rPr>
        <w:t>Proposal</w:t>
      </w:r>
      <w:r w:rsidRPr="00654293">
        <w:rPr>
          <w:i/>
          <w:iCs/>
          <w:sz w:val="22"/>
          <w:szCs w:val="22"/>
        </w:rPr>
        <w:t xml:space="preserve">: </w:t>
      </w:r>
    </w:p>
    <w:p w14:paraId="35290F2E" w14:textId="71E4B68B" w:rsidR="0046537B" w:rsidRPr="00654293" w:rsidRDefault="0046537B" w:rsidP="0046537B">
      <w:pPr>
        <w:pStyle w:val="ListParagraph"/>
        <w:numPr>
          <w:ilvl w:val="0"/>
          <w:numId w:val="27"/>
        </w:numPr>
        <w:jc w:val="both"/>
        <w:rPr>
          <w:rFonts w:ascii="Times New Roman" w:hAnsi="Times New Roman"/>
          <w:i/>
          <w:iCs/>
        </w:rPr>
      </w:pPr>
      <w:r w:rsidRPr="00654293">
        <w:rPr>
          <w:rFonts w:ascii="Times New Roman" w:hAnsi="Times New Roman"/>
          <w:i/>
          <w:iCs/>
        </w:rPr>
        <w:t xml:space="preserve">Consider changes to the UE feature list for </w:t>
      </w:r>
      <w:r>
        <w:rPr>
          <w:rFonts w:ascii="Times New Roman" w:hAnsi="Times New Roman"/>
          <w:i/>
          <w:iCs/>
        </w:rPr>
        <w:t>IoT-</w:t>
      </w:r>
      <w:r w:rsidRPr="00654293">
        <w:rPr>
          <w:rFonts w:ascii="Times New Roman" w:hAnsi="Times New Roman"/>
          <w:i/>
          <w:iCs/>
        </w:rPr>
        <w:t>NTN marked below using red font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311039F5" w14:textId="524E1320" w:rsidR="0090485F" w:rsidRPr="0090485F" w:rsidRDefault="00E00C3D" w:rsidP="0090485F">
      <w:pPr>
        <w:numPr>
          <w:ilvl w:val="0"/>
          <w:numId w:val="2"/>
        </w:numPr>
        <w:rPr>
          <w:sz w:val="22"/>
          <w:szCs w:val="22"/>
          <w:lang w:val="en-US" w:eastAsia="zh-CN"/>
        </w:rPr>
      </w:pPr>
      <w:bookmarkStart w:id="0" w:name="_Ref83826221"/>
      <w:r w:rsidRPr="00E00C3D">
        <w:rPr>
          <w:sz w:val="22"/>
          <w:szCs w:val="22"/>
          <w:lang w:val="en-US" w:eastAsia="zh-CN"/>
        </w:rPr>
        <w:t>R1-2108678</w:t>
      </w:r>
      <w:r w:rsidR="00901A1C" w:rsidRPr="00901A1C">
        <w:rPr>
          <w:sz w:val="22"/>
          <w:szCs w:val="22"/>
          <w:lang w:val="en-US" w:eastAsia="zh-CN"/>
        </w:rPr>
        <w:t xml:space="preserve">, </w:t>
      </w:r>
      <w:bookmarkEnd w:id="0"/>
      <w:r w:rsidR="00100C8A" w:rsidRPr="00100C8A">
        <w:rPr>
          <w:sz w:val="22"/>
          <w:szCs w:val="22"/>
          <w:lang w:val="en-US" w:eastAsia="zh-CN"/>
        </w:rPr>
        <w:t>Preliminary RAN1 UE features list for Rel-17 LTE</w:t>
      </w:r>
    </w:p>
    <w:p w14:paraId="227657D8" w14:textId="666E004E" w:rsidR="002B1EC5" w:rsidRDefault="00EA514D">
      <w:pPr>
        <w:overflowPunct/>
        <w:autoSpaceDE/>
        <w:autoSpaceDN/>
        <w:adjustRightInd/>
        <w:spacing w:after="0"/>
        <w:textAlignment w:val="auto"/>
        <w:rPr>
          <w:sz w:val="22"/>
          <w:szCs w:val="22"/>
          <w:lang w:val="en-US" w:eastAsia="zh-CN"/>
        </w:rPr>
        <w:sectPr w:rsidR="002B1EC5"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pPr>
      <w:r>
        <w:rPr>
          <w:sz w:val="22"/>
          <w:szCs w:val="22"/>
          <w:lang w:val="en-US" w:eastAsia="zh-CN"/>
        </w:rPr>
        <w:br w:type="page"/>
      </w:r>
    </w:p>
    <w:p w14:paraId="02BA3E58" w14:textId="041E4D46" w:rsidR="00033F7F" w:rsidRDefault="00934510" w:rsidP="009823DF">
      <w:pPr>
        <w:pStyle w:val="Heading1"/>
        <w:rPr>
          <w:lang w:val="en-US" w:eastAsia="zh-CN"/>
        </w:rPr>
      </w:pPr>
      <w:r>
        <w:rPr>
          <w:lang w:val="en-US" w:eastAsia="zh-CN"/>
        </w:rPr>
        <w:lastRenderedPageBreak/>
        <w:t>Appendix</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725"/>
        <w:gridCol w:w="1687"/>
        <w:gridCol w:w="2364"/>
        <w:gridCol w:w="1859"/>
        <w:gridCol w:w="1235"/>
        <w:gridCol w:w="1298"/>
        <w:gridCol w:w="1715"/>
        <w:gridCol w:w="1914"/>
        <w:gridCol w:w="1416"/>
        <w:gridCol w:w="1408"/>
        <w:gridCol w:w="2380"/>
        <w:gridCol w:w="1907"/>
      </w:tblGrid>
      <w:tr w:rsidR="00B046BE" w:rsidRPr="00B046BE" w14:paraId="1E962E17" w14:textId="77777777" w:rsidTr="000D39E7">
        <w:tc>
          <w:tcPr>
            <w:tcW w:w="2472" w:type="dxa"/>
            <w:tcBorders>
              <w:top w:val="single" w:sz="4" w:space="0" w:color="auto"/>
              <w:left w:val="single" w:sz="4" w:space="0" w:color="auto"/>
              <w:bottom w:val="single" w:sz="4" w:space="0" w:color="auto"/>
              <w:right w:val="single" w:sz="4" w:space="0" w:color="auto"/>
            </w:tcBorders>
            <w:hideMark/>
          </w:tcPr>
          <w:p w14:paraId="0A1D644B" w14:textId="77777777" w:rsidR="00B046BE" w:rsidRPr="00B046BE" w:rsidRDefault="00B046BE" w:rsidP="00B046BE">
            <w:pPr>
              <w:keepNext/>
              <w:keepLines/>
              <w:spacing w:after="0"/>
              <w:jc w:val="center"/>
              <w:rPr>
                <w:rFonts w:ascii="Arial" w:eastAsia="Times New Roman" w:hAnsi="Arial"/>
                <w:b/>
                <w:sz w:val="18"/>
                <w:lang w:eastAsia="ja-JP"/>
              </w:rPr>
            </w:pPr>
            <w:r w:rsidRPr="00B046BE">
              <w:rPr>
                <w:rFonts w:ascii="Arial" w:eastAsia="Times New Roman" w:hAnsi="Arial"/>
                <w:b/>
                <w:sz w:val="18"/>
                <w:lang w:eastAsia="ja-JP"/>
              </w:rPr>
              <w:lastRenderedPageBreak/>
              <w:t>Features</w:t>
            </w:r>
          </w:p>
        </w:tc>
        <w:tc>
          <w:tcPr>
            <w:tcW w:w="725" w:type="dxa"/>
            <w:tcBorders>
              <w:top w:val="single" w:sz="4" w:space="0" w:color="auto"/>
              <w:left w:val="single" w:sz="4" w:space="0" w:color="auto"/>
              <w:bottom w:val="single" w:sz="4" w:space="0" w:color="auto"/>
              <w:right w:val="single" w:sz="4" w:space="0" w:color="auto"/>
            </w:tcBorders>
            <w:hideMark/>
          </w:tcPr>
          <w:p w14:paraId="249D39DC" w14:textId="77777777" w:rsidR="00B046BE" w:rsidRPr="00B046BE" w:rsidRDefault="00B046BE" w:rsidP="00B046BE">
            <w:pPr>
              <w:keepNext/>
              <w:keepLines/>
              <w:spacing w:after="0"/>
              <w:jc w:val="center"/>
              <w:rPr>
                <w:rFonts w:ascii="Arial" w:eastAsia="Times New Roman" w:hAnsi="Arial"/>
                <w:b/>
                <w:sz w:val="18"/>
                <w:lang w:eastAsia="ja-JP"/>
              </w:rPr>
            </w:pPr>
            <w:r w:rsidRPr="00B046BE">
              <w:rPr>
                <w:rFonts w:ascii="Arial" w:eastAsia="Times New Roman" w:hAnsi="Arial"/>
                <w:b/>
                <w:sz w:val="18"/>
                <w:lang w:eastAsia="ja-JP"/>
              </w:rPr>
              <w:t>Index</w:t>
            </w:r>
          </w:p>
        </w:tc>
        <w:tc>
          <w:tcPr>
            <w:tcW w:w="1687" w:type="dxa"/>
            <w:tcBorders>
              <w:top w:val="single" w:sz="4" w:space="0" w:color="auto"/>
              <w:left w:val="single" w:sz="4" w:space="0" w:color="auto"/>
              <w:bottom w:val="single" w:sz="4" w:space="0" w:color="auto"/>
              <w:right w:val="single" w:sz="4" w:space="0" w:color="auto"/>
            </w:tcBorders>
            <w:hideMark/>
          </w:tcPr>
          <w:p w14:paraId="3EC171A2" w14:textId="77777777" w:rsidR="00B046BE" w:rsidRPr="00B046BE" w:rsidRDefault="00B046BE" w:rsidP="00B046BE">
            <w:pPr>
              <w:keepNext/>
              <w:keepLines/>
              <w:spacing w:after="0"/>
              <w:jc w:val="center"/>
              <w:rPr>
                <w:rFonts w:ascii="Arial" w:eastAsia="Times New Roman" w:hAnsi="Arial"/>
                <w:b/>
                <w:sz w:val="18"/>
                <w:lang w:eastAsia="ja-JP"/>
              </w:rPr>
            </w:pPr>
            <w:r w:rsidRPr="00B046BE">
              <w:rPr>
                <w:rFonts w:ascii="Arial" w:eastAsia="Times New Roman" w:hAnsi="Arial"/>
                <w:b/>
                <w:sz w:val="18"/>
                <w:lang w:eastAsia="ja-JP"/>
              </w:rPr>
              <w:t>Feature group</w:t>
            </w:r>
          </w:p>
        </w:tc>
        <w:tc>
          <w:tcPr>
            <w:tcW w:w="2364" w:type="dxa"/>
            <w:tcBorders>
              <w:top w:val="single" w:sz="4" w:space="0" w:color="auto"/>
              <w:left w:val="single" w:sz="4" w:space="0" w:color="auto"/>
              <w:bottom w:val="single" w:sz="4" w:space="0" w:color="auto"/>
              <w:right w:val="single" w:sz="4" w:space="0" w:color="auto"/>
            </w:tcBorders>
            <w:hideMark/>
          </w:tcPr>
          <w:p w14:paraId="1E311CFC" w14:textId="77777777" w:rsidR="00B046BE" w:rsidRPr="00B046BE" w:rsidRDefault="00B046BE" w:rsidP="00B046BE">
            <w:pPr>
              <w:keepNext/>
              <w:keepLines/>
              <w:spacing w:after="0"/>
              <w:jc w:val="center"/>
              <w:rPr>
                <w:rFonts w:ascii="Arial" w:eastAsia="Times New Roman" w:hAnsi="Arial"/>
                <w:b/>
                <w:sz w:val="18"/>
                <w:lang w:eastAsia="ja-JP"/>
              </w:rPr>
            </w:pPr>
            <w:r w:rsidRPr="00B046BE">
              <w:rPr>
                <w:rFonts w:ascii="Arial" w:eastAsia="Times New Roman" w:hAnsi="Arial"/>
                <w:b/>
                <w:sz w:val="18"/>
                <w:lang w:eastAsia="ja-JP"/>
              </w:rPr>
              <w:t>Components</w:t>
            </w:r>
          </w:p>
        </w:tc>
        <w:tc>
          <w:tcPr>
            <w:tcW w:w="1859" w:type="dxa"/>
            <w:tcBorders>
              <w:top w:val="single" w:sz="4" w:space="0" w:color="auto"/>
              <w:left w:val="single" w:sz="4" w:space="0" w:color="auto"/>
              <w:bottom w:val="single" w:sz="4" w:space="0" w:color="auto"/>
              <w:right w:val="single" w:sz="4" w:space="0" w:color="auto"/>
            </w:tcBorders>
            <w:hideMark/>
          </w:tcPr>
          <w:p w14:paraId="5D31ADD0" w14:textId="77777777" w:rsidR="00B046BE" w:rsidRPr="00B046BE" w:rsidRDefault="00B046BE" w:rsidP="00B046BE">
            <w:pPr>
              <w:keepNext/>
              <w:keepLines/>
              <w:spacing w:after="0"/>
              <w:jc w:val="center"/>
              <w:rPr>
                <w:rFonts w:ascii="Arial" w:eastAsia="Times New Roman" w:hAnsi="Arial"/>
                <w:b/>
                <w:sz w:val="18"/>
                <w:lang w:eastAsia="ja-JP"/>
              </w:rPr>
            </w:pPr>
            <w:r w:rsidRPr="00B046BE">
              <w:rPr>
                <w:rFonts w:ascii="Arial" w:eastAsia="Times New Roman" w:hAnsi="Arial"/>
                <w:b/>
                <w:sz w:val="18"/>
                <w:lang w:eastAsia="ja-JP"/>
              </w:rPr>
              <w:t>Prerequisite feature groups</w:t>
            </w:r>
          </w:p>
        </w:tc>
        <w:tc>
          <w:tcPr>
            <w:tcW w:w="1235" w:type="dxa"/>
            <w:tcBorders>
              <w:top w:val="single" w:sz="4" w:space="0" w:color="auto"/>
              <w:left w:val="single" w:sz="4" w:space="0" w:color="auto"/>
              <w:bottom w:val="single" w:sz="4" w:space="0" w:color="auto"/>
              <w:right w:val="single" w:sz="4" w:space="0" w:color="auto"/>
            </w:tcBorders>
            <w:hideMark/>
          </w:tcPr>
          <w:p w14:paraId="55E5DC3A" w14:textId="77777777" w:rsidR="00B046BE" w:rsidRPr="00B046BE" w:rsidRDefault="00B046BE" w:rsidP="00B046BE">
            <w:pPr>
              <w:keepNext/>
              <w:keepLines/>
              <w:spacing w:after="0"/>
              <w:jc w:val="center"/>
              <w:rPr>
                <w:rFonts w:ascii="Arial" w:eastAsia="Times New Roman" w:hAnsi="Arial"/>
                <w:b/>
                <w:sz w:val="18"/>
                <w:lang w:eastAsia="ja-JP"/>
              </w:rPr>
            </w:pPr>
            <w:r w:rsidRPr="00B046BE">
              <w:rPr>
                <w:rFonts w:ascii="Arial" w:eastAsia="Times New Roman" w:hAnsi="Arial"/>
                <w:b/>
                <w:sz w:val="18"/>
                <w:lang w:eastAsia="ja-JP"/>
              </w:rPr>
              <w:t>Need for the eNB to know if the feature is supported</w:t>
            </w:r>
          </w:p>
        </w:tc>
        <w:tc>
          <w:tcPr>
            <w:tcW w:w="1298" w:type="dxa"/>
            <w:tcBorders>
              <w:top w:val="single" w:sz="4" w:space="0" w:color="auto"/>
              <w:left w:val="single" w:sz="4" w:space="0" w:color="auto"/>
              <w:bottom w:val="single" w:sz="4" w:space="0" w:color="auto"/>
              <w:right w:val="single" w:sz="4" w:space="0" w:color="auto"/>
            </w:tcBorders>
            <w:shd w:val="clear" w:color="auto" w:fill="auto"/>
            <w:hideMark/>
          </w:tcPr>
          <w:p w14:paraId="6E3E8AD6" w14:textId="77777777" w:rsidR="00B046BE" w:rsidRPr="00B046BE" w:rsidRDefault="00B046BE" w:rsidP="00B046BE">
            <w:pPr>
              <w:keepNext/>
              <w:keepLines/>
              <w:spacing w:after="0"/>
              <w:jc w:val="center"/>
              <w:rPr>
                <w:rFonts w:ascii="Arial" w:eastAsia="Times New Roman" w:hAnsi="Arial"/>
                <w:b/>
                <w:sz w:val="18"/>
                <w:lang w:eastAsia="ja-JP"/>
              </w:rPr>
            </w:pPr>
            <w:r w:rsidRPr="00B046BE">
              <w:rPr>
                <w:rFonts w:ascii="Arial" w:eastAsia="Times New Roman" w:hAnsi="Arial"/>
                <w:b/>
                <w:sz w:val="18"/>
                <w:lang w:eastAsia="ja-JP"/>
              </w:rPr>
              <w:t>[Need for the UE to know if the feature is supported (only for V2X WI, where the PC5-RRC capability signalling is delivered between the UEs)]</w:t>
            </w:r>
          </w:p>
        </w:tc>
        <w:tc>
          <w:tcPr>
            <w:tcW w:w="1715" w:type="dxa"/>
            <w:tcBorders>
              <w:top w:val="single" w:sz="4" w:space="0" w:color="auto"/>
              <w:left w:val="single" w:sz="4" w:space="0" w:color="auto"/>
              <w:bottom w:val="single" w:sz="4" w:space="0" w:color="auto"/>
              <w:right w:val="single" w:sz="4" w:space="0" w:color="auto"/>
            </w:tcBorders>
            <w:hideMark/>
          </w:tcPr>
          <w:p w14:paraId="706137EA" w14:textId="77777777" w:rsidR="00B046BE" w:rsidRPr="00B046BE" w:rsidRDefault="00B046BE" w:rsidP="00B046BE">
            <w:pPr>
              <w:keepNext/>
              <w:keepLines/>
              <w:overflowPunct/>
              <w:autoSpaceDE/>
              <w:autoSpaceDN/>
              <w:adjustRightInd/>
              <w:spacing w:after="0"/>
              <w:textAlignment w:val="auto"/>
              <w:rPr>
                <w:rFonts w:ascii="Arial" w:hAnsi="Arial"/>
                <w:b/>
                <w:sz w:val="18"/>
                <w:lang w:eastAsia="ja-JP"/>
              </w:rPr>
            </w:pPr>
            <w:r w:rsidRPr="00B046BE">
              <w:rPr>
                <w:rFonts w:ascii="Arial" w:hAnsi="Arial"/>
                <w:b/>
                <w:sz w:val="18"/>
                <w:lang w:eastAsia="ja-JP"/>
              </w:rPr>
              <w:t>Consequence if the feature is not supported by the UE</w:t>
            </w:r>
          </w:p>
        </w:tc>
        <w:tc>
          <w:tcPr>
            <w:tcW w:w="1914" w:type="dxa"/>
            <w:tcBorders>
              <w:top w:val="single" w:sz="4" w:space="0" w:color="auto"/>
              <w:left w:val="single" w:sz="4" w:space="0" w:color="auto"/>
              <w:bottom w:val="single" w:sz="4" w:space="0" w:color="auto"/>
              <w:right w:val="single" w:sz="4" w:space="0" w:color="auto"/>
            </w:tcBorders>
            <w:hideMark/>
          </w:tcPr>
          <w:p w14:paraId="5CAAF5BB" w14:textId="77777777" w:rsidR="00B046BE" w:rsidRPr="00B046BE" w:rsidRDefault="00B046BE" w:rsidP="00B046BE">
            <w:pPr>
              <w:keepNext/>
              <w:keepLines/>
              <w:overflowPunct/>
              <w:autoSpaceDE/>
              <w:autoSpaceDN/>
              <w:adjustRightInd/>
              <w:spacing w:after="0"/>
              <w:textAlignment w:val="auto"/>
              <w:rPr>
                <w:rFonts w:ascii="Arial" w:hAnsi="Arial"/>
                <w:b/>
                <w:sz w:val="18"/>
                <w:lang w:eastAsia="ja-JP"/>
              </w:rPr>
            </w:pPr>
            <w:r w:rsidRPr="00B046BE">
              <w:rPr>
                <w:rFonts w:ascii="Arial" w:hAnsi="Arial"/>
                <w:b/>
                <w:sz w:val="18"/>
                <w:lang w:eastAsia="ja-JP"/>
              </w:rPr>
              <w:t>Type</w:t>
            </w:r>
          </w:p>
          <w:p w14:paraId="25A1EC2A"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b/>
                <w:sz w:val="18"/>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4FEDC9F1" w14:textId="77777777" w:rsidR="00B046BE" w:rsidRPr="00B046BE" w:rsidRDefault="00B046BE" w:rsidP="00B046BE">
            <w:pPr>
              <w:keepNext/>
              <w:keepLines/>
              <w:spacing w:after="0"/>
              <w:jc w:val="center"/>
              <w:rPr>
                <w:rFonts w:ascii="Arial" w:eastAsia="Times New Roman" w:hAnsi="Arial"/>
                <w:b/>
                <w:sz w:val="18"/>
                <w:lang w:eastAsia="ja-JP"/>
              </w:rPr>
            </w:pPr>
            <w:r w:rsidRPr="00B046BE">
              <w:rPr>
                <w:rFonts w:ascii="Arial" w:eastAsia="Times New Roman" w:hAnsi="Arial"/>
                <w:b/>
                <w:sz w:val="18"/>
                <w:lang w:eastAsia="ja-JP"/>
              </w:rPr>
              <w:t>Need of FDD/TDD differentiation</w:t>
            </w:r>
          </w:p>
        </w:tc>
        <w:tc>
          <w:tcPr>
            <w:tcW w:w="1408" w:type="dxa"/>
            <w:tcBorders>
              <w:top w:val="single" w:sz="4" w:space="0" w:color="auto"/>
              <w:left w:val="single" w:sz="4" w:space="0" w:color="auto"/>
              <w:bottom w:val="single" w:sz="4" w:space="0" w:color="auto"/>
              <w:right w:val="single" w:sz="4" w:space="0" w:color="auto"/>
            </w:tcBorders>
            <w:hideMark/>
          </w:tcPr>
          <w:p w14:paraId="706915B7" w14:textId="77777777" w:rsidR="00B046BE" w:rsidRPr="00B046BE" w:rsidRDefault="00B046BE" w:rsidP="00B046BE">
            <w:pPr>
              <w:keepNext/>
              <w:keepLines/>
              <w:spacing w:after="0"/>
              <w:jc w:val="center"/>
              <w:rPr>
                <w:rFonts w:ascii="Arial" w:eastAsia="Times New Roman" w:hAnsi="Arial"/>
                <w:b/>
                <w:sz w:val="18"/>
                <w:lang w:eastAsia="x-none"/>
              </w:rPr>
            </w:pPr>
            <w:r w:rsidRPr="00B046BE">
              <w:rPr>
                <w:rFonts w:ascii="Arial" w:eastAsia="Times New Roman" w:hAnsi="Arial"/>
                <w:b/>
                <w:sz w:val="18"/>
                <w:lang w:eastAsia="ja-JP"/>
              </w:rPr>
              <w:t>Capability interpretation for mixture of FDD/TDD</w:t>
            </w:r>
          </w:p>
        </w:tc>
        <w:tc>
          <w:tcPr>
            <w:tcW w:w="2380" w:type="dxa"/>
            <w:tcBorders>
              <w:top w:val="single" w:sz="4" w:space="0" w:color="auto"/>
              <w:left w:val="single" w:sz="4" w:space="0" w:color="auto"/>
              <w:bottom w:val="single" w:sz="4" w:space="0" w:color="auto"/>
              <w:right w:val="single" w:sz="4" w:space="0" w:color="auto"/>
            </w:tcBorders>
            <w:hideMark/>
          </w:tcPr>
          <w:p w14:paraId="0A72EE4B" w14:textId="77777777" w:rsidR="00B046BE" w:rsidRPr="00B046BE" w:rsidRDefault="00B046BE" w:rsidP="00B046BE">
            <w:pPr>
              <w:keepNext/>
              <w:keepLines/>
              <w:spacing w:after="0"/>
              <w:jc w:val="center"/>
              <w:rPr>
                <w:rFonts w:ascii="Arial" w:eastAsia="Times New Roman" w:hAnsi="Arial"/>
                <w:b/>
                <w:sz w:val="18"/>
                <w:lang w:eastAsia="ja-JP"/>
              </w:rPr>
            </w:pPr>
            <w:r w:rsidRPr="00B046BE">
              <w:rPr>
                <w:rFonts w:ascii="Arial" w:eastAsia="Times New Roman" w:hAnsi="Arial"/>
                <w:b/>
                <w:sz w:val="18"/>
                <w:lang w:eastAsia="ja-JP"/>
              </w:rPr>
              <w:t>Note</w:t>
            </w:r>
          </w:p>
        </w:tc>
        <w:tc>
          <w:tcPr>
            <w:tcW w:w="1907" w:type="dxa"/>
            <w:tcBorders>
              <w:top w:val="single" w:sz="4" w:space="0" w:color="auto"/>
              <w:left w:val="single" w:sz="4" w:space="0" w:color="auto"/>
              <w:bottom w:val="single" w:sz="4" w:space="0" w:color="auto"/>
              <w:right w:val="single" w:sz="4" w:space="0" w:color="auto"/>
            </w:tcBorders>
            <w:hideMark/>
          </w:tcPr>
          <w:p w14:paraId="762C5A6E" w14:textId="77777777" w:rsidR="00B046BE" w:rsidRPr="00B046BE" w:rsidRDefault="00B046BE" w:rsidP="00B046BE">
            <w:pPr>
              <w:keepNext/>
              <w:keepLines/>
              <w:spacing w:after="0"/>
              <w:jc w:val="center"/>
              <w:rPr>
                <w:rFonts w:ascii="Arial" w:eastAsia="Times New Roman" w:hAnsi="Arial"/>
                <w:b/>
                <w:sz w:val="18"/>
                <w:lang w:eastAsia="ja-JP"/>
              </w:rPr>
            </w:pPr>
            <w:r w:rsidRPr="00B046BE">
              <w:rPr>
                <w:rFonts w:ascii="Arial" w:eastAsia="Times New Roman" w:hAnsi="Arial"/>
                <w:b/>
                <w:sz w:val="18"/>
                <w:lang w:eastAsia="ja-JP"/>
              </w:rPr>
              <w:t>Mandatory/Optional</w:t>
            </w:r>
          </w:p>
        </w:tc>
      </w:tr>
      <w:tr w:rsidR="00B046BE" w:rsidRPr="00B046BE" w14:paraId="0A83C1F9" w14:textId="77777777" w:rsidTr="000D39E7">
        <w:tc>
          <w:tcPr>
            <w:tcW w:w="2472" w:type="dxa"/>
            <w:tcBorders>
              <w:top w:val="single" w:sz="4" w:space="0" w:color="auto"/>
              <w:left w:val="single" w:sz="4" w:space="0" w:color="auto"/>
              <w:bottom w:val="single" w:sz="4" w:space="0" w:color="auto"/>
              <w:right w:val="single" w:sz="4" w:space="0" w:color="auto"/>
            </w:tcBorders>
          </w:tcPr>
          <w:p w14:paraId="0272F337" w14:textId="77777777" w:rsidR="00B046BE" w:rsidRPr="00B046BE" w:rsidRDefault="00B046BE" w:rsidP="00B046BE">
            <w:pPr>
              <w:keepNext/>
              <w:keepLines/>
              <w:overflowPunct/>
              <w:autoSpaceDE/>
              <w:autoSpaceDN/>
              <w:adjustRightInd/>
              <w:spacing w:after="0"/>
              <w:textAlignment w:val="auto"/>
              <w:rPr>
                <w:rFonts w:ascii="Arial" w:hAnsi="Arial" w:cs="Arial"/>
                <w:sz w:val="18"/>
                <w:szCs w:val="18"/>
                <w:lang w:eastAsia="ja-JP"/>
              </w:rPr>
            </w:pPr>
            <w:r w:rsidRPr="00B046BE">
              <w:rPr>
                <w:rFonts w:ascii="Arial" w:hAnsi="Arial" w:cs="Arial"/>
                <w:sz w:val="18"/>
                <w:szCs w:val="18"/>
                <w:lang w:eastAsia="ja-JP"/>
              </w:rPr>
              <w:t>2. LTE_NBIOT_eMTC_NTN</w:t>
            </w:r>
          </w:p>
        </w:tc>
        <w:tc>
          <w:tcPr>
            <w:tcW w:w="725" w:type="dxa"/>
            <w:tcBorders>
              <w:top w:val="single" w:sz="4" w:space="0" w:color="auto"/>
              <w:left w:val="single" w:sz="4" w:space="0" w:color="auto"/>
              <w:bottom w:val="single" w:sz="4" w:space="0" w:color="auto"/>
              <w:right w:val="single" w:sz="4" w:space="0" w:color="auto"/>
            </w:tcBorders>
          </w:tcPr>
          <w:p w14:paraId="0EE923B4"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2-1</w:t>
            </w:r>
          </w:p>
        </w:tc>
        <w:tc>
          <w:tcPr>
            <w:tcW w:w="1687" w:type="dxa"/>
            <w:tcBorders>
              <w:top w:val="single" w:sz="4" w:space="0" w:color="auto"/>
              <w:left w:val="single" w:sz="4" w:space="0" w:color="auto"/>
              <w:bottom w:val="single" w:sz="4" w:space="0" w:color="auto"/>
              <w:right w:val="single" w:sz="4" w:space="0" w:color="auto"/>
            </w:tcBorders>
          </w:tcPr>
          <w:p w14:paraId="210B7601"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Support of GNSS-assisted UE for uplink time and frequency synchronization</w:t>
            </w:r>
          </w:p>
        </w:tc>
        <w:tc>
          <w:tcPr>
            <w:tcW w:w="2364" w:type="dxa"/>
            <w:tcBorders>
              <w:top w:val="single" w:sz="4" w:space="0" w:color="auto"/>
              <w:left w:val="single" w:sz="4" w:space="0" w:color="auto"/>
              <w:bottom w:val="single" w:sz="4" w:space="0" w:color="auto"/>
              <w:right w:val="single" w:sz="4" w:space="0" w:color="auto"/>
            </w:tcBorders>
          </w:tcPr>
          <w:p w14:paraId="4FBAC507"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Components</w:t>
            </w:r>
          </w:p>
          <w:p w14:paraId="4B256E04"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1. UE derives its position based on its GNSS implementation</w:t>
            </w:r>
          </w:p>
        </w:tc>
        <w:tc>
          <w:tcPr>
            <w:tcW w:w="1859" w:type="dxa"/>
            <w:tcBorders>
              <w:top w:val="single" w:sz="4" w:space="0" w:color="auto"/>
              <w:left w:val="single" w:sz="4" w:space="0" w:color="auto"/>
              <w:bottom w:val="single" w:sz="4" w:space="0" w:color="auto"/>
              <w:right w:val="single" w:sz="4" w:space="0" w:color="auto"/>
            </w:tcBorders>
          </w:tcPr>
          <w:p w14:paraId="75FA6C70" w14:textId="77777777" w:rsidR="00B046BE" w:rsidRPr="00B046BE" w:rsidRDefault="00B046BE" w:rsidP="00B046BE">
            <w:pPr>
              <w:keepNext/>
              <w:keepLines/>
              <w:overflowPunct/>
              <w:autoSpaceDE/>
              <w:autoSpaceDN/>
              <w:adjustRightInd/>
              <w:spacing w:after="0"/>
              <w:textAlignment w:val="auto"/>
              <w:rPr>
                <w:rFonts w:ascii="Arial" w:hAnsi="Arial"/>
                <w:sz w:val="18"/>
              </w:rPr>
            </w:pPr>
          </w:p>
        </w:tc>
        <w:tc>
          <w:tcPr>
            <w:tcW w:w="1235" w:type="dxa"/>
            <w:tcBorders>
              <w:top w:val="single" w:sz="4" w:space="0" w:color="auto"/>
              <w:left w:val="single" w:sz="4" w:space="0" w:color="auto"/>
              <w:bottom w:val="single" w:sz="4" w:space="0" w:color="auto"/>
              <w:right w:val="single" w:sz="4" w:space="0" w:color="auto"/>
            </w:tcBorders>
          </w:tcPr>
          <w:p w14:paraId="231EEE7D"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74AFF72A"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1DAA0A95"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1F64C794"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78493D3F"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2CBF9AD7"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6A6553A4" w14:textId="77777777" w:rsid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The main assumption is that Release 17 NTN UE is equipped with a GNSS</w:t>
            </w:r>
          </w:p>
          <w:p w14:paraId="4DA3F4CF" w14:textId="2C5FCC91" w:rsidR="00F0738D" w:rsidRPr="00B046BE" w:rsidRDefault="00F0738D" w:rsidP="00B046BE">
            <w:pPr>
              <w:keepNext/>
              <w:keepLines/>
              <w:overflowPunct/>
              <w:autoSpaceDE/>
              <w:autoSpaceDN/>
              <w:adjustRightInd/>
              <w:spacing w:after="0"/>
              <w:textAlignment w:val="auto"/>
              <w:rPr>
                <w:rFonts w:ascii="Arial" w:hAnsi="Arial"/>
                <w:sz w:val="18"/>
              </w:rPr>
            </w:pPr>
            <w:r w:rsidRPr="000E4054">
              <w:rPr>
                <w:rFonts w:ascii="Arial" w:hAnsi="Arial" w:cs="Arial"/>
                <w:color w:val="FF0000"/>
                <w:sz w:val="18"/>
                <w:szCs w:val="18"/>
              </w:rPr>
              <w:t xml:space="preserve">Note: This UE feature group is applicable only for </w:t>
            </w:r>
            <w:r>
              <w:rPr>
                <w:rFonts w:ascii="Arial" w:hAnsi="Arial" w:cs="Arial"/>
                <w:color w:val="FF0000"/>
                <w:sz w:val="18"/>
                <w:szCs w:val="18"/>
              </w:rPr>
              <w:t>IoT-</w:t>
            </w:r>
            <w:r w:rsidRPr="000E4054">
              <w:rPr>
                <w:rFonts w:ascii="Arial" w:hAnsi="Arial" w:cs="Arial"/>
                <w:color w:val="FF0000"/>
                <w:sz w:val="18"/>
                <w:szCs w:val="18"/>
              </w:rPr>
              <w:t>NTN cell, for terrestrial cell this feature is not supported</w:t>
            </w:r>
          </w:p>
        </w:tc>
        <w:tc>
          <w:tcPr>
            <w:tcW w:w="1907" w:type="dxa"/>
            <w:tcBorders>
              <w:top w:val="single" w:sz="4" w:space="0" w:color="auto"/>
              <w:left w:val="single" w:sz="4" w:space="0" w:color="auto"/>
              <w:bottom w:val="single" w:sz="4" w:space="0" w:color="auto"/>
              <w:right w:val="single" w:sz="4" w:space="0" w:color="auto"/>
            </w:tcBorders>
          </w:tcPr>
          <w:p w14:paraId="25F386B6"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Mandatory</w:t>
            </w:r>
          </w:p>
        </w:tc>
      </w:tr>
      <w:tr w:rsidR="00B046BE" w:rsidRPr="00B046BE" w14:paraId="2A0F19F7" w14:textId="77777777" w:rsidTr="000D39E7">
        <w:tc>
          <w:tcPr>
            <w:tcW w:w="2472" w:type="dxa"/>
            <w:tcBorders>
              <w:top w:val="single" w:sz="4" w:space="0" w:color="auto"/>
              <w:left w:val="single" w:sz="4" w:space="0" w:color="auto"/>
              <w:bottom w:val="single" w:sz="4" w:space="0" w:color="auto"/>
              <w:right w:val="single" w:sz="4" w:space="0" w:color="auto"/>
            </w:tcBorders>
          </w:tcPr>
          <w:p w14:paraId="7BB5165D" w14:textId="77777777" w:rsidR="00B046BE" w:rsidRPr="00B046BE" w:rsidRDefault="00B046BE" w:rsidP="00B046BE">
            <w:pPr>
              <w:keepNext/>
              <w:keepLines/>
              <w:overflowPunct/>
              <w:autoSpaceDE/>
              <w:autoSpaceDN/>
              <w:adjustRightInd/>
              <w:spacing w:after="0"/>
              <w:textAlignment w:val="auto"/>
              <w:rPr>
                <w:rFonts w:ascii="Arial" w:hAnsi="Arial" w:cs="Arial"/>
                <w:sz w:val="18"/>
                <w:szCs w:val="18"/>
                <w:lang w:eastAsia="ja-JP"/>
              </w:rPr>
            </w:pPr>
            <w:r w:rsidRPr="00B046BE">
              <w:rPr>
                <w:rFonts w:ascii="Arial" w:hAnsi="Arial" w:cs="Arial"/>
                <w:sz w:val="18"/>
                <w:szCs w:val="18"/>
                <w:lang w:eastAsia="ja-JP"/>
              </w:rPr>
              <w:t>2. LTE_NBIOT_eMTC_NTN</w:t>
            </w:r>
          </w:p>
        </w:tc>
        <w:tc>
          <w:tcPr>
            <w:tcW w:w="725" w:type="dxa"/>
            <w:tcBorders>
              <w:top w:val="single" w:sz="4" w:space="0" w:color="auto"/>
              <w:left w:val="single" w:sz="4" w:space="0" w:color="auto"/>
              <w:bottom w:val="single" w:sz="4" w:space="0" w:color="auto"/>
              <w:right w:val="single" w:sz="4" w:space="0" w:color="auto"/>
            </w:tcBorders>
          </w:tcPr>
          <w:p w14:paraId="6D27F4BB"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2-2</w:t>
            </w:r>
          </w:p>
        </w:tc>
        <w:tc>
          <w:tcPr>
            <w:tcW w:w="1687" w:type="dxa"/>
            <w:tcBorders>
              <w:top w:val="single" w:sz="4" w:space="0" w:color="auto"/>
              <w:left w:val="single" w:sz="4" w:space="0" w:color="auto"/>
              <w:bottom w:val="single" w:sz="4" w:space="0" w:color="auto"/>
              <w:right w:val="single" w:sz="4" w:space="0" w:color="auto"/>
            </w:tcBorders>
          </w:tcPr>
          <w:p w14:paraId="30E48905"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Serving satellite ephemeris position state vector</w:t>
            </w:r>
          </w:p>
        </w:tc>
        <w:tc>
          <w:tcPr>
            <w:tcW w:w="2364" w:type="dxa"/>
            <w:tcBorders>
              <w:top w:val="single" w:sz="4" w:space="0" w:color="auto"/>
              <w:left w:val="single" w:sz="4" w:space="0" w:color="auto"/>
              <w:bottom w:val="single" w:sz="4" w:space="0" w:color="auto"/>
              <w:right w:val="single" w:sz="4" w:space="0" w:color="auto"/>
            </w:tcBorders>
          </w:tcPr>
          <w:p w14:paraId="4A694BA0" w14:textId="77777777" w:rsidR="00B046BE" w:rsidRPr="00B046BE" w:rsidRDefault="00B046BE" w:rsidP="00B046BE">
            <w:pPr>
              <w:numPr>
                <w:ilvl w:val="0"/>
                <w:numId w:val="12"/>
              </w:numPr>
              <w:overflowPunct/>
              <w:autoSpaceDE/>
              <w:autoSpaceDN/>
              <w:adjustRightInd/>
              <w:spacing w:afterLines="50" w:after="120"/>
              <w:contextualSpacing/>
              <w:textAlignment w:val="auto"/>
              <w:rPr>
                <w:rFonts w:ascii="Arial" w:hAnsi="Arial"/>
                <w:sz w:val="18"/>
              </w:rPr>
            </w:pPr>
            <w:proofErr w:type="gramStart"/>
            <w:r w:rsidRPr="00B046BE">
              <w:rPr>
                <w:rFonts w:ascii="Arial" w:hAnsi="Arial"/>
                <w:sz w:val="18"/>
              </w:rPr>
              <w:t>Indicate  serving</w:t>
            </w:r>
            <w:proofErr w:type="gramEnd"/>
            <w:r w:rsidRPr="00B046BE">
              <w:rPr>
                <w:rFonts w:ascii="Arial" w:hAnsi="Arial"/>
                <w:sz w:val="18"/>
              </w:rPr>
              <w:t xml:space="preserve">  Satellite position state vector X,Y,Z in ECEF (m) and serving  Satellite velocity state vector VX,VY,VZ in ECEF (m/s)</w:t>
            </w:r>
          </w:p>
        </w:tc>
        <w:tc>
          <w:tcPr>
            <w:tcW w:w="1859" w:type="dxa"/>
            <w:tcBorders>
              <w:top w:val="single" w:sz="4" w:space="0" w:color="auto"/>
              <w:left w:val="single" w:sz="4" w:space="0" w:color="auto"/>
              <w:bottom w:val="single" w:sz="4" w:space="0" w:color="auto"/>
              <w:right w:val="single" w:sz="4" w:space="0" w:color="auto"/>
            </w:tcBorders>
          </w:tcPr>
          <w:p w14:paraId="4487058D" w14:textId="77777777" w:rsidR="00B046BE" w:rsidRPr="00B046BE" w:rsidRDefault="00B046BE" w:rsidP="00B046BE">
            <w:pPr>
              <w:keepNext/>
              <w:keepLines/>
              <w:overflowPunct/>
              <w:autoSpaceDE/>
              <w:autoSpaceDN/>
              <w:adjustRightInd/>
              <w:spacing w:after="0"/>
              <w:textAlignment w:val="auto"/>
              <w:rPr>
                <w:rFonts w:ascii="Arial" w:hAnsi="Arial"/>
                <w:sz w:val="18"/>
              </w:rPr>
            </w:pPr>
          </w:p>
        </w:tc>
        <w:tc>
          <w:tcPr>
            <w:tcW w:w="1235" w:type="dxa"/>
            <w:tcBorders>
              <w:top w:val="single" w:sz="4" w:space="0" w:color="auto"/>
              <w:left w:val="single" w:sz="4" w:space="0" w:color="auto"/>
              <w:bottom w:val="single" w:sz="4" w:space="0" w:color="auto"/>
              <w:right w:val="single" w:sz="4" w:space="0" w:color="auto"/>
            </w:tcBorders>
          </w:tcPr>
          <w:p w14:paraId="0AECD68E"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AEFC161"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p>
        </w:tc>
        <w:tc>
          <w:tcPr>
            <w:tcW w:w="1715" w:type="dxa"/>
            <w:tcBorders>
              <w:top w:val="single" w:sz="4" w:space="0" w:color="auto"/>
              <w:left w:val="single" w:sz="4" w:space="0" w:color="auto"/>
              <w:bottom w:val="single" w:sz="4" w:space="0" w:color="auto"/>
              <w:right w:val="single" w:sz="4" w:space="0" w:color="auto"/>
            </w:tcBorders>
          </w:tcPr>
          <w:p w14:paraId="1ADA7E22"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4B25944D"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7BB71F6B"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3B3D36B8"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71A781E4" w14:textId="77777777" w:rsid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Satellite ephemeris read on SIB are valid for the duration of sporadic short transmission in RRC_CONNECTED.</w:t>
            </w:r>
          </w:p>
          <w:p w14:paraId="36690B95" w14:textId="76A03CA1" w:rsidR="00F0738D" w:rsidRPr="00B046BE" w:rsidRDefault="00F0738D" w:rsidP="00B046BE">
            <w:pPr>
              <w:keepNext/>
              <w:keepLines/>
              <w:overflowPunct/>
              <w:autoSpaceDE/>
              <w:autoSpaceDN/>
              <w:adjustRightInd/>
              <w:spacing w:after="0"/>
              <w:textAlignment w:val="auto"/>
              <w:rPr>
                <w:rFonts w:ascii="Arial" w:hAnsi="Arial"/>
                <w:sz w:val="18"/>
              </w:rPr>
            </w:pPr>
            <w:r w:rsidRPr="000E4054">
              <w:rPr>
                <w:rFonts w:ascii="Arial" w:hAnsi="Arial" w:cs="Arial"/>
                <w:color w:val="FF0000"/>
                <w:sz w:val="18"/>
                <w:szCs w:val="18"/>
              </w:rPr>
              <w:t xml:space="preserve">Note: This UE feature group is applicable only for </w:t>
            </w:r>
            <w:r>
              <w:rPr>
                <w:rFonts w:ascii="Arial" w:hAnsi="Arial" w:cs="Arial"/>
                <w:color w:val="FF0000"/>
                <w:sz w:val="18"/>
                <w:szCs w:val="18"/>
              </w:rPr>
              <w:t>IoT-</w:t>
            </w:r>
            <w:r w:rsidRPr="000E4054">
              <w:rPr>
                <w:rFonts w:ascii="Arial" w:hAnsi="Arial" w:cs="Arial"/>
                <w:color w:val="FF0000"/>
                <w:sz w:val="18"/>
                <w:szCs w:val="18"/>
              </w:rPr>
              <w:t>NTN cell, for terrestrial cell this feature is not supported</w:t>
            </w:r>
          </w:p>
        </w:tc>
        <w:tc>
          <w:tcPr>
            <w:tcW w:w="1907" w:type="dxa"/>
            <w:tcBorders>
              <w:top w:val="single" w:sz="4" w:space="0" w:color="auto"/>
              <w:left w:val="single" w:sz="4" w:space="0" w:color="auto"/>
              <w:bottom w:val="single" w:sz="4" w:space="0" w:color="auto"/>
              <w:right w:val="single" w:sz="4" w:space="0" w:color="auto"/>
            </w:tcBorders>
          </w:tcPr>
          <w:p w14:paraId="76EE2BB1"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Mandatory</w:t>
            </w:r>
          </w:p>
        </w:tc>
      </w:tr>
      <w:tr w:rsidR="00B046BE" w:rsidRPr="00B046BE" w14:paraId="1BFD6BC0" w14:textId="77777777" w:rsidTr="000D39E7">
        <w:tc>
          <w:tcPr>
            <w:tcW w:w="2472" w:type="dxa"/>
            <w:tcBorders>
              <w:top w:val="single" w:sz="4" w:space="0" w:color="auto"/>
              <w:left w:val="single" w:sz="4" w:space="0" w:color="auto"/>
              <w:bottom w:val="single" w:sz="4" w:space="0" w:color="auto"/>
              <w:right w:val="single" w:sz="4" w:space="0" w:color="auto"/>
            </w:tcBorders>
          </w:tcPr>
          <w:p w14:paraId="2063EB87" w14:textId="77777777" w:rsidR="00B046BE" w:rsidRPr="00B046BE" w:rsidRDefault="00B046BE" w:rsidP="00B046BE">
            <w:pPr>
              <w:keepNext/>
              <w:keepLines/>
              <w:overflowPunct/>
              <w:autoSpaceDE/>
              <w:autoSpaceDN/>
              <w:adjustRightInd/>
              <w:spacing w:after="0"/>
              <w:textAlignment w:val="auto"/>
              <w:rPr>
                <w:rFonts w:ascii="Arial" w:hAnsi="Arial" w:cs="Arial"/>
                <w:sz w:val="18"/>
                <w:szCs w:val="18"/>
                <w:lang w:eastAsia="ja-JP"/>
              </w:rPr>
            </w:pPr>
            <w:r w:rsidRPr="00B046BE">
              <w:rPr>
                <w:rFonts w:ascii="Arial" w:hAnsi="Arial" w:cs="Arial"/>
                <w:sz w:val="18"/>
                <w:szCs w:val="18"/>
                <w:lang w:eastAsia="ja-JP"/>
              </w:rPr>
              <w:t>2. LTE_NBIOT_eMTC_NTN</w:t>
            </w:r>
          </w:p>
        </w:tc>
        <w:tc>
          <w:tcPr>
            <w:tcW w:w="725" w:type="dxa"/>
            <w:tcBorders>
              <w:top w:val="single" w:sz="4" w:space="0" w:color="auto"/>
              <w:left w:val="single" w:sz="4" w:space="0" w:color="auto"/>
              <w:bottom w:val="single" w:sz="4" w:space="0" w:color="auto"/>
              <w:right w:val="single" w:sz="4" w:space="0" w:color="auto"/>
            </w:tcBorders>
          </w:tcPr>
          <w:p w14:paraId="344F68DE"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2-3</w:t>
            </w:r>
          </w:p>
        </w:tc>
        <w:tc>
          <w:tcPr>
            <w:tcW w:w="1687" w:type="dxa"/>
            <w:tcBorders>
              <w:top w:val="single" w:sz="4" w:space="0" w:color="auto"/>
              <w:left w:val="single" w:sz="4" w:space="0" w:color="auto"/>
              <w:bottom w:val="single" w:sz="4" w:space="0" w:color="auto"/>
              <w:right w:val="single" w:sz="4" w:space="0" w:color="auto"/>
            </w:tcBorders>
          </w:tcPr>
          <w:p w14:paraId="6576E9C8"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Satellite orbital parameters</w:t>
            </w:r>
          </w:p>
        </w:tc>
        <w:tc>
          <w:tcPr>
            <w:tcW w:w="2364" w:type="dxa"/>
            <w:tcBorders>
              <w:top w:val="single" w:sz="4" w:space="0" w:color="auto"/>
              <w:left w:val="single" w:sz="4" w:space="0" w:color="auto"/>
              <w:bottom w:val="single" w:sz="4" w:space="0" w:color="auto"/>
              <w:right w:val="single" w:sz="4" w:space="0" w:color="auto"/>
            </w:tcBorders>
          </w:tcPr>
          <w:p w14:paraId="1DF39565" w14:textId="77777777" w:rsidR="00B046BE" w:rsidRPr="00B046BE" w:rsidRDefault="00B046BE" w:rsidP="00B046BE">
            <w:pPr>
              <w:numPr>
                <w:ilvl w:val="0"/>
                <w:numId w:val="20"/>
              </w:numPr>
              <w:overflowPunct/>
              <w:autoSpaceDE/>
              <w:autoSpaceDN/>
              <w:adjustRightInd/>
              <w:spacing w:afterLines="50" w:after="120"/>
              <w:contextualSpacing/>
              <w:textAlignment w:val="auto"/>
              <w:rPr>
                <w:rFonts w:ascii="Arial" w:hAnsi="Arial"/>
                <w:sz w:val="18"/>
              </w:rPr>
            </w:pPr>
            <w:r w:rsidRPr="00B046BE">
              <w:rPr>
                <w:rFonts w:ascii="Arial" w:hAnsi="Arial"/>
                <w:sz w:val="18"/>
              </w:rPr>
              <w:t>Indicate ephemeris orbital parameter for the serving satellite:</w:t>
            </w:r>
          </w:p>
        </w:tc>
        <w:tc>
          <w:tcPr>
            <w:tcW w:w="1859" w:type="dxa"/>
            <w:tcBorders>
              <w:top w:val="single" w:sz="4" w:space="0" w:color="auto"/>
              <w:left w:val="single" w:sz="4" w:space="0" w:color="auto"/>
              <w:bottom w:val="single" w:sz="4" w:space="0" w:color="auto"/>
              <w:right w:val="single" w:sz="4" w:space="0" w:color="auto"/>
            </w:tcBorders>
          </w:tcPr>
          <w:p w14:paraId="24B70136" w14:textId="77777777" w:rsidR="00B046BE" w:rsidRPr="00B046BE" w:rsidRDefault="00B046BE" w:rsidP="00B046BE">
            <w:pPr>
              <w:keepNext/>
              <w:keepLines/>
              <w:overflowPunct/>
              <w:autoSpaceDE/>
              <w:autoSpaceDN/>
              <w:adjustRightInd/>
              <w:spacing w:after="0"/>
              <w:textAlignment w:val="auto"/>
              <w:rPr>
                <w:rFonts w:ascii="Arial" w:hAnsi="Arial"/>
                <w:sz w:val="18"/>
              </w:rPr>
            </w:pPr>
          </w:p>
        </w:tc>
        <w:tc>
          <w:tcPr>
            <w:tcW w:w="1235" w:type="dxa"/>
            <w:tcBorders>
              <w:top w:val="single" w:sz="4" w:space="0" w:color="auto"/>
              <w:left w:val="single" w:sz="4" w:space="0" w:color="auto"/>
              <w:bottom w:val="single" w:sz="4" w:space="0" w:color="auto"/>
              <w:right w:val="single" w:sz="4" w:space="0" w:color="auto"/>
            </w:tcBorders>
          </w:tcPr>
          <w:p w14:paraId="1BB62CF7"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6E7C9FC"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753CA29C"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32372140"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0803615B"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04BA9004"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54908A26" w14:textId="77777777" w:rsid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Satellite ephemeris read on SIB are valid for the duration of sporadic short transmission in RRC_CONNECTED.</w:t>
            </w:r>
          </w:p>
          <w:p w14:paraId="0433A686" w14:textId="30C820FE" w:rsidR="00F0738D" w:rsidRPr="00B046BE" w:rsidRDefault="00F0738D" w:rsidP="00B046BE">
            <w:pPr>
              <w:keepNext/>
              <w:keepLines/>
              <w:overflowPunct/>
              <w:autoSpaceDE/>
              <w:autoSpaceDN/>
              <w:adjustRightInd/>
              <w:spacing w:after="0"/>
              <w:textAlignment w:val="auto"/>
              <w:rPr>
                <w:rFonts w:ascii="Arial" w:hAnsi="Arial"/>
                <w:sz w:val="18"/>
              </w:rPr>
            </w:pPr>
            <w:r w:rsidRPr="000E4054">
              <w:rPr>
                <w:rFonts w:ascii="Arial" w:hAnsi="Arial" w:cs="Arial"/>
                <w:color w:val="FF0000"/>
                <w:sz w:val="18"/>
                <w:szCs w:val="18"/>
              </w:rPr>
              <w:t xml:space="preserve">Note: This UE feature group is applicable only for </w:t>
            </w:r>
            <w:r>
              <w:rPr>
                <w:rFonts w:ascii="Arial" w:hAnsi="Arial" w:cs="Arial"/>
                <w:color w:val="FF0000"/>
                <w:sz w:val="18"/>
                <w:szCs w:val="18"/>
              </w:rPr>
              <w:t>IoT-</w:t>
            </w:r>
            <w:r w:rsidRPr="000E4054">
              <w:rPr>
                <w:rFonts w:ascii="Arial" w:hAnsi="Arial" w:cs="Arial"/>
                <w:color w:val="FF0000"/>
                <w:sz w:val="18"/>
                <w:szCs w:val="18"/>
              </w:rPr>
              <w:t>NTN cell, for terrestrial cell this feature is not supported</w:t>
            </w:r>
          </w:p>
        </w:tc>
        <w:tc>
          <w:tcPr>
            <w:tcW w:w="1907" w:type="dxa"/>
            <w:tcBorders>
              <w:top w:val="single" w:sz="4" w:space="0" w:color="auto"/>
              <w:left w:val="single" w:sz="4" w:space="0" w:color="auto"/>
              <w:bottom w:val="single" w:sz="4" w:space="0" w:color="auto"/>
              <w:right w:val="single" w:sz="4" w:space="0" w:color="auto"/>
            </w:tcBorders>
          </w:tcPr>
          <w:p w14:paraId="4C881794"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Mandatory</w:t>
            </w:r>
          </w:p>
        </w:tc>
      </w:tr>
      <w:tr w:rsidR="00B046BE" w:rsidRPr="00B046BE" w14:paraId="2D008A20" w14:textId="77777777" w:rsidTr="000D39E7">
        <w:tc>
          <w:tcPr>
            <w:tcW w:w="2472" w:type="dxa"/>
            <w:tcBorders>
              <w:top w:val="single" w:sz="4" w:space="0" w:color="auto"/>
              <w:left w:val="single" w:sz="4" w:space="0" w:color="auto"/>
              <w:bottom w:val="single" w:sz="4" w:space="0" w:color="auto"/>
              <w:right w:val="single" w:sz="4" w:space="0" w:color="auto"/>
            </w:tcBorders>
          </w:tcPr>
          <w:p w14:paraId="641B5633" w14:textId="77777777" w:rsidR="00B046BE" w:rsidRPr="00B046BE" w:rsidRDefault="00B046BE" w:rsidP="00B046BE">
            <w:pPr>
              <w:keepNext/>
              <w:keepLines/>
              <w:overflowPunct/>
              <w:autoSpaceDE/>
              <w:autoSpaceDN/>
              <w:adjustRightInd/>
              <w:spacing w:after="0"/>
              <w:textAlignment w:val="auto"/>
              <w:rPr>
                <w:rFonts w:ascii="Arial" w:hAnsi="Arial" w:cs="Arial"/>
                <w:sz w:val="18"/>
                <w:szCs w:val="18"/>
                <w:lang w:eastAsia="ja-JP"/>
              </w:rPr>
            </w:pPr>
            <w:r w:rsidRPr="00B046BE">
              <w:rPr>
                <w:rFonts w:ascii="Arial" w:hAnsi="Arial" w:cs="Arial"/>
                <w:sz w:val="18"/>
                <w:szCs w:val="18"/>
                <w:lang w:eastAsia="ja-JP"/>
              </w:rPr>
              <w:lastRenderedPageBreak/>
              <w:t>2. LTE_NBIOT_eMTC_NTN</w:t>
            </w:r>
          </w:p>
        </w:tc>
        <w:tc>
          <w:tcPr>
            <w:tcW w:w="725" w:type="dxa"/>
            <w:tcBorders>
              <w:top w:val="single" w:sz="4" w:space="0" w:color="auto"/>
              <w:left w:val="single" w:sz="4" w:space="0" w:color="auto"/>
              <w:bottom w:val="single" w:sz="4" w:space="0" w:color="auto"/>
              <w:right w:val="single" w:sz="4" w:space="0" w:color="auto"/>
            </w:tcBorders>
          </w:tcPr>
          <w:p w14:paraId="07C6DE3D"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2-4</w:t>
            </w:r>
          </w:p>
        </w:tc>
        <w:tc>
          <w:tcPr>
            <w:tcW w:w="1687" w:type="dxa"/>
            <w:tcBorders>
              <w:top w:val="single" w:sz="4" w:space="0" w:color="auto"/>
              <w:left w:val="single" w:sz="4" w:space="0" w:color="auto"/>
              <w:bottom w:val="single" w:sz="4" w:space="0" w:color="auto"/>
              <w:right w:val="single" w:sz="4" w:space="0" w:color="auto"/>
            </w:tcBorders>
          </w:tcPr>
          <w:p w14:paraId="7348795D"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Uplink Time pre-compensation</w:t>
            </w:r>
          </w:p>
        </w:tc>
        <w:tc>
          <w:tcPr>
            <w:tcW w:w="2364" w:type="dxa"/>
            <w:tcBorders>
              <w:top w:val="single" w:sz="4" w:space="0" w:color="auto"/>
              <w:left w:val="single" w:sz="4" w:space="0" w:color="auto"/>
              <w:bottom w:val="single" w:sz="4" w:space="0" w:color="auto"/>
              <w:right w:val="single" w:sz="4" w:space="0" w:color="auto"/>
            </w:tcBorders>
          </w:tcPr>
          <w:p w14:paraId="3E64CF42" w14:textId="77777777" w:rsidR="00B046BE" w:rsidRPr="00B046BE" w:rsidRDefault="00B046BE" w:rsidP="00B046BE">
            <w:pPr>
              <w:numPr>
                <w:ilvl w:val="0"/>
                <w:numId w:val="21"/>
              </w:numPr>
              <w:overflowPunct/>
              <w:autoSpaceDE/>
              <w:autoSpaceDN/>
              <w:adjustRightInd/>
              <w:spacing w:afterLines="50" w:after="120"/>
              <w:contextualSpacing/>
              <w:textAlignment w:val="auto"/>
              <w:rPr>
                <w:rFonts w:ascii="Arial" w:hAnsi="Arial"/>
                <w:sz w:val="18"/>
              </w:rPr>
            </w:pPr>
            <w:r w:rsidRPr="00B046BE">
              <w:rPr>
                <w:rFonts w:ascii="Arial" w:hAnsi="Arial"/>
                <w:sz w:val="18"/>
              </w:rPr>
              <w:t>UE specific TA calculation in RRC_IDLE state based on its GNSS-acquired position and the serving satellite ephemeris.</w:t>
            </w:r>
          </w:p>
          <w:p w14:paraId="3C6FF529" w14:textId="77777777" w:rsidR="00B046BE" w:rsidRPr="00B046BE" w:rsidRDefault="00B046BE" w:rsidP="00B046BE">
            <w:pPr>
              <w:numPr>
                <w:ilvl w:val="0"/>
                <w:numId w:val="21"/>
              </w:numPr>
              <w:overflowPunct/>
              <w:autoSpaceDE/>
              <w:autoSpaceDN/>
              <w:adjustRightInd/>
              <w:spacing w:after="0"/>
              <w:contextualSpacing/>
              <w:textAlignment w:val="auto"/>
              <w:rPr>
                <w:rFonts w:ascii="Arial" w:hAnsi="Arial"/>
                <w:sz w:val="18"/>
              </w:rPr>
            </w:pPr>
            <w:r w:rsidRPr="00B046BE">
              <w:rPr>
                <w:rFonts w:ascii="Arial" w:hAnsi="Arial"/>
                <w:sz w:val="18"/>
              </w:rPr>
              <w:t>UE specific TA calculation in RRC_CONNECTED state based on its GNSS-acquired position and the serving satellite ephemeris.</w:t>
            </w:r>
          </w:p>
          <w:p w14:paraId="2E1D0C19" w14:textId="77777777" w:rsidR="00B046BE" w:rsidRPr="00B046BE" w:rsidRDefault="00B046BE" w:rsidP="00B046BE">
            <w:pPr>
              <w:numPr>
                <w:ilvl w:val="0"/>
                <w:numId w:val="21"/>
              </w:numPr>
              <w:overflowPunct/>
              <w:autoSpaceDE/>
              <w:autoSpaceDN/>
              <w:adjustRightInd/>
              <w:spacing w:after="0"/>
              <w:contextualSpacing/>
              <w:textAlignment w:val="auto"/>
              <w:rPr>
                <w:rFonts w:ascii="Arial" w:hAnsi="Arial"/>
                <w:sz w:val="18"/>
              </w:rPr>
            </w:pPr>
            <w:r w:rsidRPr="00B046BE">
              <w:rPr>
                <w:rFonts w:ascii="Arial" w:hAnsi="Arial"/>
                <w:sz w:val="18"/>
              </w:rPr>
              <w:t>UE applies common TA according to the parameters provided by the network (if any)</w:t>
            </w:r>
          </w:p>
          <w:p w14:paraId="2B65EBA2" w14:textId="77777777" w:rsidR="00B046BE" w:rsidRPr="00B046BE" w:rsidRDefault="00B046BE" w:rsidP="00B046BE">
            <w:pPr>
              <w:keepNext/>
              <w:keepLines/>
              <w:numPr>
                <w:ilvl w:val="0"/>
                <w:numId w:val="21"/>
              </w:numPr>
              <w:overflowPunct/>
              <w:autoSpaceDE/>
              <w:autoSpaceDN/>
              <w:adjustRightInd/>
              <w:spacing w:after="0"/>
              <w:textAlignment w:val="auto"/>
              <w:rPr>
                <w:rFonts w:ascii="Arial" w:hAnsi="Arial"/>
                <w:sz w:val="18"/>
              </w:rPr>
            </w:pPr>
            <w:r w:rsidRPr="00B046BE">
              <w:rPr>
                <w:rFonts w:ascii="Arial" w:hAnsi="Arial"/>
                <w:sz w:val="18"/>
              </w:rPr>
              <w:t>For TA update in RRC_CONNECTED state, combination of both open (</w:t>
            </w:r>
            <w:proofErr w:type="gramStart"/>
            <w:r w:rsidRPr="00B046BE">
              <w:rPr>
                <w:rFonts w:ascii="Arial" w:hAnsi="Arial"/>
                <w:sz w:val="18"/>
              </w:rPr>
              <w:t>i.e.</w:t>
            </w:r>
            <w:proofErr w:type="gramEnd"/>
            <w:r w:rsidRPr="00B046BE">
              <w:rPr>
                <w:rFonts w:ascii="Arial" w:hAnsi="Arial"/>
                <w:sz w:val="18"/>
              </w:rPr>
              <w:t xml:space="preserve"> UE autonomous TA estimation, and common TA estimation) and closed (i.e., received TA commands) control loops</w:t>
            </w:r>
          </w:p>
        </w:tc>
        <w:tc>
          <w:tcPr>
            <w:tcW w:w="1859" w:type="dxa"/>
            <w:tcBorders>
              <w:top w:val="single" w:sz="4" w:space="0" w:color="auto"/>
              <w:left w:val="single" w:sz="4" w:space="0" w:color="auto"/>
              <w:bottom w:val="single" w:sz="4" w:space="0" w:color="auto"/>
              <w:right w:val="single" w:sz="4" w:space="0" w:color="auto"/>
            </w:tcBorders>
          </w:tcPr>
          <w:p w14:paraId="000D6372"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 xml:space="preserve">2-1, 2-2 </w:t>
            </w:r>
            <w:proofErr w:type="gramStart"/>
            <w:r w:rsidRPr="00B046BE">
              <w:rPr>
                <w:rFonts w:ascii="Arial" w:hAnsi="Arial"/>
                <w:sz w:val="18"/>
              </w:rPr>
              <w:t>or  2</w:t>
            </w:r>
            <w:proofErr w:type="gramEnd"/>
            <w:r w:rsidRPr="00B046BE">
              <w:rPr>
                <w:rFonts w:ascii="Arial" w:hAnsi="Arial"/>
                <w:sz w:val="18"/>
              </w:rPr>
              <w:t>-3</w:t>
            </w:r>
          </w:p>
        </w:tc>
        <w:tc>
          <w:tcPr>
            <w:tcW w:w="1235" w:type="dxa"/>
            <w:tcBorders>
              <w:top w:val="single" w:sz="4" w:space="0" w:color="auto"/>
              <w:left w:val="single" w:sz="4" w:space="0" w:color="auto"/>
              <w:bottom w:val="single" w:sz="4" w:space="0" w:color="auto"/>
              <w:right w:val="single" w:sz="4" w:space="0" w:color="auto"/>
            </w:tcBorders>
          </w:tcPr>
          <w:p w14:paraId="1CACCBBB"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2C108B12"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11B3F341"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3F87C38E"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5665E83D"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1E8B5B35"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6336BB12"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In Rel-17 IoT-NTN, at least support UE which can compute timing advance for serving link based on its GNSS position and serving satellite ephemeris signalled by the network and apply corresponding timing advance and frequency adjustment in RRC_IDLE and RRC_CONNECTED modes.</w:t>
            </w:r>
          </w:p>
          <w:p w14:paraId="786989D7" w14:textId="77777777" w:rsid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For TA update in RRC_CONNECTED state, combination of both open (</w:t>
            </w:r>
            <w:proofErr w:type="gramStart"/>
            <w:r w:rsidRPr="00B046BE">
              <w:rPr>
                <w:rFonts w:ascii="Arial" w:hAnsi="Arial"/>
                <w:sz w:val="18"/>
              </w:rPr>
              <w:t>i.e.</w:t>
            </w:r>
            <w:proofErr w:type="gramEnd"/>
            <w:r w:rsidRPr="00B046BE">
              <w:rPr>
                <w:rFonts w:ascii="Arial" w:hAnsi="Arial"/>
                <w:sz w:val="18"/>
              </w:rPr>
              <w:t xml:space="preserve"> UE autonomous TA estimation, and common TA estimation) and closed (i.e., received TA commands) control loops shall be supported for IoT-NTN</w:t>
            </w:r>
          </w:p>
          <w:p w14:paraId="45B391EE" w14:textId="119C231D" w:rsidR="00F0738D" w:rsidRPr="00B046BE" w:rsidRDefault="00F0738D" w:rsidP="00B046BE">
            <w:pPr>
              <w:keepNext/>
              <w:keepLines/>
              <w:overflowPunct/>
              <w:autoSpaceDE/>
              <w:autoSpaceDN/>
              <w:adjustRightInd/>
              <w:spacing w:after="0"/>
              <w:textAlignment w:val="auto"/>
              <w:rPr>
                <w:rFonts w:ascii="Arial" w:hAnsi="Arial"/>
                <w:sz w:val="18"/>
              </w:rPr>
            </w:pPr>
            <w:r w:rsidRPr="000E4054">
              <w:rPr>
                <w:rFonts w:ascii="Arial" w:hAnsi="Arial" w:cs="Arial"/>
                <w:color w:val="FF0000"/>
                <w:sz w:val="18"/>
                <w:szCs w:val="18"/>
              </w:rPr>
              <w:t xml:space="preserve">Note: This UE feature group is applicable only for </w:t>
            </w:r>
            <w:r>
              <w:rPr>
                <w:rFonts w:ascii="Arial" w:hAnsi="Arial" w:cs="Arial"/>
                <w:color w:val="FF0000"/>
                <w:sz w:val="18"/>
                <w:szCs w:val="18"/>
              </w:rPr>
              <w:t>IoT-</w:t>
            </w:r>
            <w:r w:rsidRPr="000E4054">
              <w:rPr>
                <w:rFonts w:ascii="Arial" w:hAnsi="Arial" w:cs="Arial"/>
                <w:color w:val="FF0000"/>
                <w:sz w:val="18"/>
                <w:szCs w:val="18"/>
              </w:rPr>
              <w:t>NTN cell, for terrestrial cell this feature is not supported</w:t>
            </w:r>
          </w:p>
        </w:tc>
        <w:tc>
          <w:tcPr>
            <w:tcW w:w="1907" w:type="dxa"/>
            <w:tcBorders>
              <w:top w:val="single" w:sz="4" w:space="0" w:color="auto"/>
              <w:left w:val="single" w:sz="4" w:space="0" w:color="auto"/>
              <w:bottom w:val="single" w:sz="4" w:space="0" w:color="auto"/>
              <w:right w:val="single" w:sz="4" w:space="0" w:color="auto"/>
            </w:tcBorders>
          </w:tcPr>
          <w:p w14:paraId="14F242FC"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Mandatory</w:t>
            </w:r>
          </w:p>
        </w:tc>
      </w:tr>
      <w:tr w:rsidR="00B046BE" w:rsidRPr="00B046BE" w14:paraId="4FFD1A19" w14:textId="77777777" w:rsidTr="000D39E7">
        <w:tc>
          <w:tcPr>
            <w:tcW w:w="2472" w:type="dxa"/>
            <w:tcBorders>
              <w:top w:val="single" w:sz="4" w:space="0" w:color="auto"/>
              <w:left w:val="single" w:sz="4" w:space="0" w:color="auto"/>
              <w:bottom w:val="single" w:sz="4" w:space="0" w:color="auto"/>
              <w:right w:val="single" w:sz="4" w:space="0" w:color="auto"/>
            </w:tcBorders>
          </w:tcPr>
          <w:p w14:paraId="08BFB988" w14:textId="77777777" w:rsidR="00B046BE" w:rsidRPr="00B046BE" w:rsidRDefault="00B046BE" w:rsidP="00B046BE">
            <w:pPr>
              <w:keepNext/>
              <w:keepLines/>
              <w:overflowPunct/>
              <w:autoSpaceDE/>
              <w:autoSpaceDN/>
              <w:adjustRightInd/>
              <w:spacing w:after="0"/>
              <w:textAlignment w:val="auto"/>
              <w:rPr>
                <w:rFonts w:ascii="Arial" w:hAnsi="Arial" w:cs="Arial"/>
                <w:sz w:val="18"/>
                <w:szCs w:val="18"/>
                <w:lang w:eastAsia="ja-JP"/>
              </w:rPr>
            </w:pPr>
            <w:r w:rsidRPr="00B046BE">
              <w:rPr>
                <w:rFonts w:ascii="Arial" w:hAnsi="Arial" w:cs="Arial"/>
                <w:sz w:val="18"/>
                <w:szCs w:val="18"/>
                <w:lang w:eastAsia="ja-JP"/>
              </w:rPr>
              <w:lastRenderedPageBreak/>
              <w:t>2. LTE_NBIOT_eMTC_NTN</w:t>
            </w:r>
          </w:p>
        </w:tc>
        <w:tc>
          <w:tcPr>
            <w:tcW w:w="725" w:type="dxa"/>
            <w:tcBorders>
              <w:top w:val="single" w:sz="4" w:space="0" w:color="auto"/>
              <w:left w:val="single" w:sz="4" w:space="0" w:color="auto"/>
              <w:bottom w:val="single" w:sz="4" w:space="0" w:color="auto"/>
              <w:right w:val="single" w:sz="4" w:space="0" w:color="auto"/>
            </w:tcBorders>
          </w:tcPr>
          <w:p w14:paraId="3E3D49F5"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2-5</w:t>
            </w:r>
          </w:p>
        </w:tc>
        <w:tc>
          <w:tcPr>
            <w:tcW w:w="1687" w:type="dxa"/>
            <w:tcBorders>
              <w:top w:val="single" w:sz="4" w:space="0" w:color="auto"/>
              <w:left w:val="single" w:sz="4" w:space="0" w:color="auto"/>
              <w:bottom w:val="single" w:sz="4" w:space="0" w:color="auto"/>
              <w:right w:val="single" w:sz="4" w:space="0" w:color="auto"/>
            </w:tcBorders>
          </w:tcPr>
          <w:p w14:paraId="504B14A5"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Uplink frequency/Doppler pre-compensation</w:t>
            </w:r>
          </w:p>
        </w:tc>
        <w:tc>
          <w:tcPr>
            <w:tcW w:w="2364" w:type="dxa"/>
            <w:tcBorders>
              <w:top w:val="single" w:sz="4" w:space="0" w:color="auto"/>
              <w:left w:val="single" w:sz="4" w:space="0" w:color="auto"/>
              <w:bottom w:val="single" w:sz="4" w:space="0" w:color="auto"/>
              <w:right w:val="single" w:sz="4" w:space="0" w:color="auto"/>
            </w:tcBorders>
          </w:tcPr>
          <w:p w14:paraId="6B63D335" w14:textId="77777777" w:rsidR="00B046BE" w:rsidRPr="00B046BE" w:rsidRDefault="00B046BE" w:rsidP="00B046BE">
            <w:pPr>
              <w:numPr>
                <w:ilvl w:val="0"/>
                <w:numId w:val="22"/>
              </w:numPr>
              <w:overflowPunct/>
              <w:autoSpaceDE/>
              <w:autoSpaceDN/>
              <w:adjustRightInd/>
              <w:spacing w:afterLines="50" w:after="120"/>
              <w:contextualSpacing/>
              <w:textAlignment w:val="auto"/>
              <w:rPr>
                <w:rFonts w:ascii="Arial" w:hAnsi="Arial"/>
                <w:sz w:val="18"/>
              </w:rPr>
            </w:pPr>
            <w:r w:rsidRPr="00B046BE">
              <w:rPr>
                <w:rFonts w:ascii="Arial" w:hAnsi="Arial"/>
                <w:sz w:val="18"/>
              </w:rPr>
              <w:t xml:space="preserve">In RRC_IDLE state </w:t>
            </w:r>
            <w:proofErr w:type="gramStart"/>
            <w:r w:rsidRPr="00B046BE">
              <w:rPr>
                <w:rFonts w:ascii="Arial" w:hAnsi="Arial"/>
                <w:sz w:val="18"/>
              </w:rPr>
              <w:t>calculate</w:t>
            </w:r>
            <w:proofErr w:type="gramEnd"/>
            <w:r w:rsidRPr="00B046BE">
              <w:rPr>
                <w:rFonts w:ascii="Arial" w:hAnsi="Arial"/>
                <w:sz w:val="18"/>
              </w:rPr>
              <w:t xml:space="preserve"> frequency pre-compensation to counter shift the Doppler experienced on the service link.</w:t>
            </w:r>
          </w:p>
          <w:p w14:paraId="6FAA8D37" w14:textId="77777777" w:rsidR="00B046BE" w:rsidRPr="00B046BE" w:rsidRDefault="00B046BE" w:rsidP="00B046BE">
            <w:pPr>
              <w:numPr>
                <w:ilvl w:val="0"/>
                <w:numId w:val="22"/>
              </w:numPr>
              <w:overflowPunct/>
              <w:autoSpaceDE/>
              <w:autoSpaceDN/>
              <w:adjustRightInd/>
              <w:spacing w:after="0"/>
              <w:contextualSpacing/>
              <w:textAlignment w:val="auto"/>
              <w:rPr>
                <w:rFonts w:ascii="Arial" w:hAnsi="Arial"/>
                <w:sz w:val="18"/>
              </w:rPr>
            </w:pPr>
            <w:r w:rsidRPr="00B046BE">
              <w:rPr>
                <w:rFonts w:ascii="Arial" w:hAnsi="Arial"/>
                <w:sz w:val="18"/>
              </w:rPr>
              <w:t>in RRC_CONNECTED state, calculate frequency pre-compensation to counter shift the Doppler experienced on the service link.</w:t>
            </w:r>
          </w:p>
        </w:tc>
        <w:tc>
          <w:tcPr>
            <w:tcW w:w="1859" w:type="dxa"/>
            <w:tcBorders>
              <w:top w:val="single" w:sz="4" w:space="0" w:color="auto"/>
              <w:left w:val="single" w:sz="4" w:space="0" w:color="auto"/>
              <w:bottom w:val="single" w:sz="4" w:space="0" w:color="auto"/>
              <w:right w:val="single" w:sz="4" w:space="0" w:color="auto"/>
            </w:tcBorders>
          </w:tcPr>
          <w:p w14:paraId="7CF865A5"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2-1, 2-3 or 2-3</w:t>
            </w:r>
          </w:p>
        </w:tc>
        <w:tc>
          <w:tcPr>
            <w:tcW w:w="1235" w:type="dxa"/>
            <w:tcBorders>
              <w:top w:val="single" w:sz="4" w:space="0" w:color="auto"/>
              <w:left w:val="single" w:sz="4" w:space="0" w:color="auto"/>
              <w:bottom w:val="single" w:sz="4" w:space="0" w:color="auto"/>
              <w:right w:val="single" w:sz="4" w:space="0" w:color="auto"/>
            </w:tcBorders>
          </w:tcPr>
          <w:p w14:paraId="60607615"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6F9EE94E"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3E6941D5"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670F62D1"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544ECEFB"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6E6751F7"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0F1E2930" w14:textId="77777777" w:rsid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In Rel-17 IoT-NTN, at least support UE which can compute frequency adjustment for serving link based on its GNSS position and serving satellite ephemeris signalled by the network and apply corresponding timing advance and frequency adjustment in RRC_IDLE and RRC_CONNECTED modes</w:t>
            </w:r>
          </w:p>
          <w:p w14:paraId="0CC06852" w14:textId="7F896A9D" w:rsidR="00F0738D" w:rsidRPr="00B046BE" w:rsidRDefault="00F0738D" w:rsidP="00B046BE">
            <w:pPr>
              <w:keepNext/>
              <w:keepLines/>
              <w:overflowPunct/>
              <w:autoSpaceDE/>
              <w:autoSpaceDN/>
              <w:adjustRightInd/>
              <w:spacing w:after="0"/>
              <w:textAlignment w:val="auto"/>
              <w:rPr>
                <w:rFonts w:ascii="Arial" w:hAnsi="Arial"/>
                <w:sz w:val="18"/>
              </w:rPr>
            </w:pPr>
            <w:r w:rsidRPr="000E4054">
              <w:rPr>
                <w:rFonts w:ascii="Arial" w:hAnsi="Arial" w:cs="Arial"/>
                <w:color w:val="FF0000"/>
                <w:sz w:val="18"/>
                <w:szCs w:val="18"/>
              </w:rPr>
              <w:t xml:space="preserve">Note: This UE feature group is applicable only for </w:t>
            </w:r>
            <w:r>
              <w:rPr>
                <w:rFonts w:ascii="Arial" w:hAnsi="Arial" w:cs="Arial"/>
                <w:color w:val="FF0000"/>
                <w:sz w:val="18"/>
                <w:szCs w:val="18"/>
              </w:rPr>
              <w:t>IoT-</w:t>
            </w:r>
            <w:r w:rsidRPr="000E4054">
              <w:rPr>
                <w:rFonts w:ascii="Arial" w:hAnsi="Arial" w:cs="Arial"/>
                <w:color w:val="FF0000"/>
                <w:sz w:val="18"/>
                <w:szCs w:val="18"/>
              </w:rPr>
              <w:t>NTN cell, for terrestrial cell this feature is not supported</w:t>
            </w:r>
          </w:p>
        </w:tc>
        <w:tc>
          <w:tcPr>
            <w:tcW w:w="1907" w:type="dxa"/>
            <w:tcBorders>
              <w:top w:val="single" w:sz="4" w:space="0" w:color="auto"/>
              <w:left w:val="single" w:sz="4" w:space="0" w:color="auto"/>
              <w:bottom w:val="single" w:sz="4" w:space="0" w:color="auto"/>
              <w:right w:val="single" w:sz="4" w:space="0" w:color="auto"/>
            </w:tcBorders>
          </w:tcPr>
          <w:p w14:paraId="4C6EC15E"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Mandatory</w:t>
            </w:r>
          </w:p>
        </w:tc>
      </w:tr>
      <w:tr w:rsidR="00B046BE" w:rsidRPr="00B046BE" w14:paraId="442C65F5" w14:textId="77777777" w:rsidTr="000D39E7">
        <w:tc>
          <w:tcPr>
            <w:tcW w:w="2472" w:type="dxa"/>
            <w:tcBorders>
              <w:top w:val="single" w:sz="4" w:space="0" w:color="auto"/>
              <w:left w:val="single" w:sz="4" w:space="0" w:color="auto"/>
              <w:bottom w:val="single" w:sz="4" w:space="0" w:color="auto"/>
              <w:right w:val="single" w:sz="4" w:space="0" w:color="auto"/>
            </w:tcBorders>
          </w:tcPr>
          <w:p w14:paraId="3BDF20F3" w14:textId="77777777" w:rsidR="00B046BE" w:rsidRPr="00C6690E" w:rsidRDefault="00B046BE" w:rsidP="00B046BE">
            <w:pPr>
              <w:keepNext/>
              <w:keepLines/>
              <w:overflowPunct/>
              <w:autoSpaceDE/>
              <w:autoSpaceDN/>
              <w:adjustRightInd/>
              <w:spacing w:after="0"/>
              <w:textAlignment w:val="auto"/>
              <w:rPr>
                <w:rFonts w:ascii="Arial" w:hAnsi="Arial" w:cs="Arial"/>
                <w:strike/>
                <w:color w:val="FF0000"/>
                <w:sz w:val="18"/>
                <w:szCs w:val="18"/>
                <w:lang w:eastAsia="ja-JP"/>
              </w:rPr>
            </w:pPr>
            <w:r w:rsidRPr="00C6690E">
              <w:rPr>
                <w:rFonts w:ascii="Arial" w:hAnsi="Arial" w:cs="Arial"/>
                <w:strike/>
                <w:color w:val="FF0000"/>
                <w:sz w:val="18"/>
                <w:szCs w:val="18"/>
                <w:lang w:eastAsia="ja-JP"/>
              </w:rPr>
              <w:t>2. LTE_NBIOT_eMTC_NTN</w:t>
            </w:r>
          </w:p>
        </w:tc>
        <w:tc>
          <w:tcPr>
            <w:tcW w:w="725" w:type="dxa"/>
            <w:tcBorders>
              <w:top w:val="single" w:sz="4" w:space="0" w:color="auto"/>
              <w:left w:val="single" w:sz="4" w:space="0" w:color="auto"/>
              <w:bottom w:val="single" w:sz="4" w:space="0" w:color="auto"/>
              <w:right w:val="single" w:sz="4" w:space="0" w:color="auto"/>
            </w:tcBorders>
          </w:tcPr>
          <w:p w14:paraId="79FFEB62" w14:textId="77777777" w:rsidR="00B046BE" w:rsidRPr="00C6690E" w:rsidRDefault="00B046BE" w:rsidP="00B046BE">
            <w:pPr>
              <w:keepNext/>
              <w:keepLines/>
              <w:overflowPunct/>
              <w:autoSpaceDE/>
              <w:autoSpaceDN/>
              <w:adjustRightInd/>
              <w:spacing w:after="0"/>
              <w:textAlignment w:val="auto"/>
              <w:rPr>
                <w:rFonts w:ascii="Arial" w:hAnsi="Arial"/>
                <w:strike/>
                <w:color w:val="FF0000"/>
                <w:sz w:val="18"/>
                <w:lang w:eastAsia="ja-JP"/>
              </w:rPr>
            </w:pPr>
            <w:r w:rsidRPr="00C6690E">
              <w:rPr>
                <w:rFonts w:ascii="Arial" w:hAnsi="Arial"/>
                <w:strike/>
                <w:color w:val="FF0000"/>
                <w:sz w:val="18"/>
                <w:lang w:eastAsia="ja-JP"/>
              </w:rPr>
              <w:t>2-6</w:t>
            </w:r>
          </w:p>
        </w:tc>
        <w:tc>
          <w:tcPr>
            <w:tcW w:w="1687" w:type="dxa"/>
            <w:tcBorders>
              <w:top w:val="single" w:sz="4" w:space="0" w:color="auto"/>
              <w:left w:val="single" w:sz="4" w:space="0" w:color="auto"/>
              <w:bottom w:val="single" w:sz="4" w:space="0" w:color="auto"/>
              <w:right w:val="single" w:sz="4" w:space="0" w:color="auto"/>
            </w:tcBorders>
          </w:tcPr>
          <w:p w14:paraId="69F5F806" w14:textId="77777777" w:rsidR="00B046BE" w:rsidRPr="00C6690E" w:rsidRDefault="00B046BE" w:rsidP="00B046BE">
            <w:pPr>
              <w:keepNext/>
              <w:keepLines/>
              <w:overflowPunct/>
              <w:autoSpaceDE/>
              <w:autoSpaceDN/>
              <w:adjustRightInd/>
              <w:spacing w:after="0"/>
              <w:textAlignment w:val="auto"/>
              <w:rPr>
                <w:rFonts w:ascii="Arial" w:hAnsi="Arial"/>
                <w:strike/>
                <w:color w:val="FF0000"/>
                <w:sz w:val="18"/>
              </w:rPr>
            </w:pPr>
            <w:r w:rsidRPr="00C6690E">
              <w:rPr>
                <w:rFonts w:ascii="Arial" w:hAnsi="Arial"/>
                <w:strike/>
                <w:color w:val="FF0000"/>
                <w:sz w:val="18"/>
              </w:rPr>
              <w:t>Validity timer of UL synchronization</w:t>
            </w:r>
          </w:p>
        </w:tc>
        <w:tc>
          <w:tcPr>
            <w:tcW w:w="2364" w:type="dxa"/>
            <w:tcBorders>
              <w:top w:val="single" w:sz="4" w:space="0" w:color="auto"/>
              <w:left w:val="single" w:sz="4" w:space="0" w:color="auto"/>
              <w:bottom w:val="single" w:sz="4" w:space="0" w:color="auto"/>
              <w:right w:val="single" w:sz="4" w:space="0" w:color="auto"/>
            </w:tcBorders>
          </w:tcPr>
          <w:p w14:paraId="1C38EDE6" w14:textId="77777777" w:rsidR="00B046BE" w:rsidRPr="00C6690E" w:rsidRDefault="00B046BE" w:rsidP="00B046BE">
            <w:pPr>
              <w:numPr>
                <w:ilvl w:val="0"/>
                <w:numId w:val="23"/>
              </w:numPr>
              <w:overflowPunct/>
              <w:autoSpaceDE/>
              <w:autoSpaceDN/>
              <w:adjustRightInd/>
              <w:spacing w:afterLines="50" w:after="120"/>
              <w:contextualSpacing/>
              <w:textAlignment w:val="auto"/>
              <w:rPr>
                <w:rFonts w:ascii="Arial" w:hAnsi="Arial"/>
                <w:strike/>
                <w:color w:val="FF0000"/>
                <w:sz w:val="18"/>
              </w:rPr>
            </w:pPr>
            <w:r w:rsidRPr="00C6690E">
              <w:rPr>
                <w:rFonts w:ascii="Arial" w:hAnsi="Arial"/>
                <w:strike/>
                <w:color w:val="FF0000"/>
                <w:sz w:val="18"/>
              </w:rPr>
              <w:t>Validity timer of UL synchronization is configured by the network</w:t>
            </w:r>
          </w:p>
        </w:tc>
        <w:tc>
          <w:tcPr>
            <w:tcW w:w="1859" w:type="dxa"/>
            <w:tcBorders>
              <w:top w:val="single" w:sz="4" w:space="0" w:color="auto"/>
              <w:left w:val="single" w:sz="4" w:space="0" w:color="auto"/>
              <w:bottom w:val="single" w:sz="4" w:space="0" w:color="auto"/>
              <w:right w:val="single" w:sz="4" w:space="0" w:color="auto"/>
            </w:tcBorders>
          </w:tcPr>
          <w:p w14:paraId="4F0B63B9" w14:textId="77777777" w:rsidR="00B046BE" w:rsidRPr="00C6690E" w:rsidRDefault="00B046BE" w:rsidP="00B046BE">
            <w:pPr>
              <w:keepNext/>
              <w:keepLines/>
              <w:overflowPunct/>
              <w:autoSpaceDE/>
              <w:autoSpaceDN/>
              <w:adjustRightInd/>
              <w:spacing w:after="0"/>
              <w:textAlignment w:val="auto"/>
              <w:rPr>
                <w:rFonts w:ascii="Arial" w:hAnsi="Arial"/>
                <w:strike/>
                <w:color w:val="FF0000"/>
                <w:sz w:val="18"/>
              </w:rPr>
            </w:pPr>
            <w:r w:rsidRPr="00C6690E">
              <w:rPr>
                <w:rFonts w:ascii="Arial" w:hAnsi="Arial"/>
                <w:strike/>
                <w:color w:val="FF0000"/>
                <w:sz w:val="18"/>
              </w:rPr>
              <w:t>2-2 or 2-3</w:t>
            </w:r>
          </w:p>
        </w:tc>
        <w:tc>
          <w:tcPr>
            <w:tcW w:w="1235" w:type="dxa"/>
            <w:tcBorders>
              <w:top w:val="single" w:sz="4" w:space="0" w:color="auto"/>
              <w:left w:val="single" w:sz="4" w:space="0" w:color="auto"/>
              <w:bottom w:val="single" w:sz="4" w:space="0" w:color="auto"/>
              <w:right w:val="single" w:sz="4" w:space="0" w:color="auto"/>
            </w:tcBorders>
          </w:tcPr>
          <w:p w14:paraId="02FDA1E1" w14:textId="77777777" w:rsidR="00B046BE" w:rsidRPr="00C6690E" w:rsidRDefault="00B046BE" w:rsidP="00B046BE">
            <w:pPr>
              <w:keepNext/>
              <w:keepLines/>
              <w:overflowPunct/>
              <w:autoSpaceDE/>
              <w:autoSpaceDN/>
              <w:adjustRightInd/>
              <w:spacing w:after="0"/>
              <w:textAlignment w:val="auto"/>
              <w:rPr>
                <w:rFonts w:ascii="Arial" w:hAnsi="Arial"/>
                <w:strike/>
                <w:color w:val="FF0000"/>
                <w:sz w:val="18"/>
                <w:lang w:eastAsia="ja-JP"/>
              </w:rPr>
            </w:pPr>
            <w:r w:rsidRPr="00C6690E">
              <w:rPr>
                <w:rFonts w:ascii="Arial" w:hAnsi="Arial"/>
                <w:strike/>
                <w:color w:val="FF0000"/>
                <w:sz w:val="18"/>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737D6E8" w14:textId="77777777" w:rsidR="00B046BE" w:rsidRPr="00C6690E" w:rsidRDefault="00B046BE" w:rsidP="00B046BE">
            <w:pPr>
              <w:keepNext/>
              <w:keepLines/>
              <w:overflowPunct/>
              <w:autoSpaceDE/>
              <w:autoSpaceDN/>
              <w:adjustRightInd/>
              <w:spacing w:after="0"/>
              <w:textAlignment w:val="auto"/>
              <w:rPr>
                <w:rFonts w:ascii="Arial" w:hAnsi="Arial"/>
                <w:strike/>
                <w:color w:val="FF0000"/>
                <w:sz w:val="18"/>
                <w:lang w:eastAsia="ja-JP"/>
              </w:rPr>
            </w:pPr>
            <w:r w:rsidRPr="00C6690E">
              <w:rPr>
                <w:rFonts w:ascii="Arial" w:hAnsi="Arial"/>
                <w:strike/>
                <w:color w:val="FF0000"/>
                <w:sz w:val="18"/>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143C5588" w14:textId="77777777" w:rsidR="00B046BE" w:rsidRPr="00C6690E" w:rsidRDefault="00B046BE" w:rsidP="00B046BE">
            <w:pPr>
              <w:keepNext/>
              <w:keepLines/>
              <w:overflowPunct/>
              <w:autoSpaceDE/>
              <w:autoSpaceDN/>
              <w:adjustRightInd/>
              <w:spacing w:after="0"/>
              <w:textAlignment w:val="auto"/>
              <w:rPr>
                <w:rFonts w:ascii="Arial" w:hAnsi="Arial"/>
                <w:strike/>
                <w:color w:val="FF0000"/>
                <w:sz w:val="18"/>
                <w:lang w:eastAsia="ja-JP"/>
              </w:rPr>
            </w:pPr>
            <w:r w:rsidRPr="00C6690E">
              <w:rPr>
                <w:rFonts w:ascii="Arial" w:hAnsi="Arial"/>
                <w:strike/>
                <w:color w:val="FF0000"/>
                <w:sz w:val="18"/>
                <w:lang w:eastAsia="ja-JP"/>
              </w:rPr>
              <w:t xml:space="preserve">UE does not know the maximum time during which the UE can apply the satellite ephemeris / common TA parameres if broadcast </w:t>
            </w:r>
          </w:p>
        </w:tc>
        <w:tc>
          <w:tcPr>
            <w:tcW w:w="1914" w:type="dxa"/>
            <w:tcBorders>
              <w:top w:val="single" w:sz="4" w:space="0" w:color="auto"/>
              <w:left w:val="single" w:sz="4" w:space="0" w:color="auto"/>
              <w:bottom w:val="single" w:sz="4" w:space="0" w:color="auto"/>
              <w:right w:val="single" w:sz="4" w:space="0" w:color="auto"/>
            </w:tcBorders>
          </w:tcPr>
          <w:p w14:paraId="69AA0551" w14:textId="77777777" w:rsidR="00B046BE" w:rsidRPr="00C6690E" w:rsidRDefault="00B046BE" w:rsidP="00B046BE">
            <w:pPr>
              <w:keepNext/>
              <w:keepLines/>
              <w:overflowPunct/>
              <w:autoSpaceDE/>
              <w:autoSpaceDN/>
              <w:adjustRightInd/>
              <w:spacing w:after="0"/>
              <w:textAlignment w:val="auto"/>
              <w:rPr>
                <w:rFonts w:ascii="Arial" w:hAnsi="Arial"/>
                <w:strike/>
                <w:color w:val="FF0000"/>
                <w:sz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3A9AD622" w14:textId="77777777" w:rsidR="00B046BE" w:rsidRPr="00C6690E" w:rsidRDefault="00B046BE" w:rsidP="00B046BE">
            <w:pPr>
              <w:keepNext/>
              <w:keepLines/>
              <w:overflowPunct/>
              <w:autoSpaceDE/>
              <w:autoSpaceDN/>
              <w:adjustRightInd/>
              <w:spacing w:after="0"/>
              <w:textAlignment w:val="auto"/>
              <w:rPr>
                <w:rFonts w:ascii="Arial" w:hAnsi="Arial"/>
                <w:strike/>
                <w:color w:val="FF0000"/>
                <w:sz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6115AACB" w14:textId="77777777" w:rsidR="00B046BE" w:rsidRPr="00C6690E" w:rsidRDefault="00B046BE" w:rsidP="00B046BE">
            <w:pPr>
              <w:keepNext/>
              <w:keepLines/>
              <w:overflowPunct/>
              <w:autoSpaceDE/>
              <w:autoSpaceDN/>
              <w:adjustRightInd/>
              <w:spacing w:after="0"/>
              <w:textAlignment w:val="auto"/>
              <w:rPr>
                <w:rFonts w:ascii="Arial" w:hAnsi="Arial"/>
                <w:strike/>
                <w:color w:val="FF0000"/>
                <w:sz w:val="18"/>
                <w:lang w:eastAsia="ja-JP"/>
              </w:rPr>
            </w:pPr>
          </w:p>
        </w:tc>
        <w:tc>
          <w:tcPr>
            <w:tcW w:w="2380" w:type="dxa"/>
            <w:tcBorders>
              <w:top w:val="single" w:sz="4" w:space="0" w:color="auto"/>
              <w:left w:val="single" w:sz="4" w:space="0" w:color="auto"/>
              <w:bottom w:val="single" w:sz="4" w:space="0" w:color="auto"/>
              <w:right w:val="single" w:sz="4" w:space="0" w:color="auto"/>
            </w:tcBorders>
          </w:tcPr>
          <w:p w14:paraId="33D10759" w14:textId="77777777" w:rsidR="00B046BE" w:rsidRPr="00C6690E" w:rsidRDefault="00B046BE" w:rsidP="00B046BE">
            <w:pPr>
              <w:keepNext/>
              <w:keepLines/>
              <w:overflowPunct/>
              <w:autoSpaceDE/>
              <w:autoSpaceDN/>
              <w:adjustRightInd/>
              <w:spacing w:after="0"/>
              <w:textAlignment w:val="auto"/>
              <w:rPr>
                <w:rFonts w:ascii="Arial" w:hAnsi="Arial"/>
                <w:strike/>
                <w:color w:val="FF0000"/>
                <w:sz w:val="18"/>
              </w:rPr>
            </w:pPr>
            <w:r w:rsidRPr="00C6690E">
              <w:rPr>
                <w:rFonts w:ascii="Arial" w:hAnsi="Arial"/>
                <w:strike/>
                <w:color w:val="FF0000"/>
                <w:sz w:val="18"/>
              </w:rPr>
              <w:t xml:space="preserve">A validity duration configured by the network for satellite ephemeris data / Common TA parameters if </w:t>
            </w:r>
            <w:proofErr w:type="gramStart"/>
            <w:r w:rsidRPr="00C6690E">
              <w:rPr>
                <w:rFonts w:ascii="Arial" w:hAnsi="Arial"/>
                <w:strike/>
                <w:color w:val="FF0000"/>
                <w:sz w:val="18"/>
              </w:rPr>
              <w:t>broadcast  which</w:t>
            </w:r>
            <w:proofErr w:type="gramEnd"/>
            <w:r w:rsidRPr="00C6690E">
              <w:rPr>
                <w:rFonts w:ascii="Arial" w:hAnsi="Arial"/>
                <w:strike/>
                <w:color w:val="FF0000"/>
                <w:sz w:val="18"/>
              </w:rPr>
              <w:t xml:space="preserve"> indicates the maximum time during which the UE can apply the satellite ephemeris / common TA parameres if broadcast without having acquired new satellite ephemeris / common TA parameters if broadcast.</w:t>
            </w:r>
          </w:p>
          <w:p w14:paraId="174622C9" w14:textId="45412F73" w:rsidR="00F0738D" w:rsidRPr="00C6690E" w:rsidRDefault="00F0738D" w:rsidP="00B046BE">
            <w:pPr>
              <w:keepNext/>
              <w:keepLines/>
              <w:overflowPunct/>
              <w:autoSpaceDE/>
              <w:autoSpaceDN/>
              <w:adjustRightInd/>
              <w:spacing w:after="0"/>
              <w:textAlignment w:val="auto"/>
              <w:rPr>
                <w:rFonts w:ascii="Arial" w:hAnsi="Arial"/>
                <w:strike/>
                <w:color w:val="FF0000"/>
                <w:sz w:val="18"/>
              </w:rPr>
            </w:pPr>
            <w:r w:rsidRPr="00C6690E">
              <w:rPr>
                <w:rFonts w:ascii="Arial" w:hAnsi="Arial" w:cs="Arial"/>
                <w:strike/>
                <w:color w:val="FF0000"/>
                <w:sz w:val="18"/>
                <w:szCs w:val="18"/>
              </w:rPr>
              <w:t>Note: This UE feature group is applicable only for IoT-NTN cell, for terrestrial cell this feature is not supported</w:t>
            </w:r>
          </w:p>
        </w:tc>
        <w:tc>
          <w:tcPr>
            <w:tcW w:w="1907" w:type="dxa"/>
            <w:tcBorders>
              <w:top w:val="single" w:sz="4" w:space="0" w:color="auto"/>
              <w:left w:val="single" w:sz="4" w:space="0" w:color="auto"/>
              <w:bottom w:val="single" w:sz="4" w:space="0" w:color="auto"/>
              <w:right w:val="single" w:sz="4" w:space="0" w:color="auto"/>
            </w:tcBorders>
          </w:tcPr>
          <w:p w14:paraId="78B14837" w14:textId="77777777" w:rsidR="00B046BE" w:rsidRPr="00C6690E" w:rsidRDefault="00B046BE" w:rsidP="00B046BE">
            <w:pPr>
              <w:keepNext/>
              <w:keepLines/>
              <w:overflowPunct/>
              <w:autoSpaceDE/>
              <w:autoSpaceDN/>
              <w:adjustRightInd/>
              <w:spacing w:after="0"/>
              <w:textAlignment w:val="auto"/>
              <w:rPr>
                <w:rFonts w:ascii="Arial" w:hAnsi="Arial"/>
                <w:strike/>
                <w:color w:val="FF0000"/>
                <w:sz w:val="18"/>
                <w:lang w:eastAsia="ja-JP"/>
              </w:rPr>
            </w:pPr>
            <w:r w:rsidRPr="00C6690E">
              <w:rPr>
                <w:rFonts w:ascii="Arial" w:hAnsi="Arial"/>
                <w:strike/>
                <w:color w:val="FF0000"/>
                <w:sz w:val="18"/>
                <w:lang w:eastAsia="ja-JP"/>
              </w:rPr>
              <w:t>Mandatory</w:t>
            </w:r>
          </w:p>
        </w:tc>
      </w:tr>
      <w:tr w:rsidR="00B046BE" w:rsidRPr="00B046BE" w14:paraId="2EB267B4" w14:textId="77777777" w:rsidTr="000D39E7">
        <w:tc>
          <w:tcPr>
            <w:tcW w:w="2472" w:type="dxa"/>
            <w:tcBorders>
              <w:top w:val="single" w:sz="4" w:space="0" w:color="auto"/>
              <w:left w:val="single" w:sz="4" w:space="0" w:color="auto"/>
              <w:bottom w:val="single" w:sz="4" w:space="0" w:color="auto"/>
              <w:right w:val="single" w:sz="4" w:space="0" w:color="auto"/>
            </w:tcBorders>
          </w:tcPr>
          <w:p w14:paraId="76504B22" w14:textId="77777777" w:rsidR="00B046BE" w:rsidRPr="00B046BE" w:rsidRDefault="00B046BE" w:rsidP="00B046BE">
            <w:pPr>
              <w:keepNext/>
              <w:keepLines/>
              <w:overflowPunct/>
              <w:autoSpaceDE/>
              <w:autoSpaceDN/>
              <w:adjustRightInd/>
              <w:spacing w:after="0"/>
              <w:textAlignment w:val="auto"/>
              <w:rPr>
                <w:rFonts w:ascii="Arial" w:hAnsi="Arial" w:cs="Arial"/>
                <w:sz w:val="18"/>
                <w:szCs w:val="18"/>
                <w:lang w:eastAsia="ja-JP"/>
              </w:rPr>
            </w:pPr>
            <w:r w:rsidRPr="00B046BE">
              <w:rPr>
                <w:rFonts w:ascii="Arial" w:hAnsi="Arial" w:cs="Arial"/>
                <w:sz w:val="18"/>
                <w:szCs w:val="18"/>
                <w:lang w:eastAsia="ja-JP"/>
              </w:rPr>
              <w:lastRenderedPageBreak/>
              <w:t>2. LTE_NBIOT_eMTC_NTN</w:t>
            </w:r>
          </w:p>
        </w:tc>
        <w:tc>
          <w:tcPr>
            <w:tcW w:w="725" w:type="dxa"/>
            <w:tcBorders>
              <w:top w:val="single" w:sz="4" w:space="0" w:color="auto"/>
              <w:left w:val="single" w:sz="4" w:space="0" w:color="auto"/>
              <w:bottom w:val="single" w:sz="4" w:space="0" w:color="auto"/>
              <w:right w:val="single" w:sz="4" w:space="0" w:color="auto"/>
            </w:tcBorders>
          </w:tcPr>
          <w:p w14:paraId="015F3D1C"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2-7</w:t>
            </w:r>
          </w:p>
        </w:tc>
        <w:tc>
          <w:tcPr>
            <w:tcW w:w="1687" w:type="dxa"/>
            <w:tcBorders>
              <w:top w:val="single" w:sz="4" w:space="0" w:color="auto"/>
              <w:left w:val="single" w:sz="4" w:space="0" w:color="auto"/>
              <w:bottom w:val="single" w:sz="4" w:space="0" w:color="auto"/>
              <w:right w:val="single" w:sz="4" w:space="0" w:color="auto"/>
            </w:tcBorders>
          </w:tcPr>
          <w:p w14:paraId="3DB8020F"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UL transmission segment</w:t>
            </w:r>
          </w:p>
        </w:tc>
        <w:tc>
          <w:tcPr>
            <w:tcW w:w="2364" w:type="dxa"/>
            <w:tcBorders>
              <w:top w:val="single" w:sz="4" w:space="0" w:color="auto"/>
              <w:left w:val="single" w:sz="4" w:space="0" w:color="auto"/>
              <w:bottom w:val="single" w:sz="4" w:space="0" w:color="auto"/>
              <w:right w:val="single" w:sz="4" w:space="0" w:color="auto"/>
            </w:tcBorders>
          </w:tcPr>
          <w:p w14:paraId="5733DDB4" w14:textId="77777777" w:rsidR="00B046BE" w:rsidRPr="00B046BE" w:rsidRDefault="00B046BE" w:rsidP="00B046BE">
            <w:pPr>
              <w:numPr>
                <w:ilvl w:val="0"/>
                <w:numId w:val="24"/>
              </w:numPr>
              <w:overflowPunct/>
              <w:autoSpaceDE/>
              <w:autoSpaceDN/>
              <w:adjustRightInd/>
              <w:spacing w:afterLines="50" w:after="120"/>
              <w:contextualSpacing/>
              <w:textAlignment w:val="auto"/>
              <w:rPr>
                <w:rFonts w:ascii="Arial" w:hAnsi="Arial"/>
                <w:sz w:val="18"/>
              </w:rPr>
            </w:pPr>
            <w:r w:rsidRPr="00B046BE">
              <w:rPr>
                <w:rFonts w:ascii="Arial" w:hAnsi="Arial"/>
                <w:sz w:val="18"/>
              </w:rPr>
              <w:t>UL transmission segment duration is configured by the network</w:t>
            </w:r>
          </w:p>
        </w:tc>
        <w:tc>
          <w:tcPr>
            <w:tcW w:w="1859" w:type="dxa"/>
            <w:tcBorders>
              <w:top w:val="single" w:sz="4" w:space="0" w:color="auto"/>
              <w:left w:val="single" w:sz="4" w:space="0" w:color="auto"/>
              <w:bottom w:val="single" w:sz="4" w:space="0" w:color="auto"/>
              <w:right w:val="single" w:sz="4" w:space="0" w:color="auto"/>
            </w:tcBorders>
          </w:tcPr>
          <w:p w14:paraId="7BCD290A"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2-4 and 2-5</w:t>
            </w:r>
          </w:p>
        </w:tc>
        <w:tc>
          <w:tcPr>
            <w:tcW w:w="1235" w:type="dxa"/>
            <w:tcBorders>
              <w:top w:val="single" w:sz="4" w:space="0" w:color="auto"/>
              <w:left w:val="single" w:sz="4" w:space="0" w:color="auto"/>
              <w:bottom w:val="single" w:sz="4" w:space="0" w:color="auto"/>
              <w:right w:val="single" w:sz="4" w:space="0" w:color="auto"/>
            </w:tcBorders>
          </w:tcPr>
          <w:p w14:paraId="08AC5EFF"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7C50193"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3BDA534C"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UE does not know the maximum time during which the applied pre-compensation for (N)RACH or (N)PUSCH for NB-IoT / eMTC shall not be changed by the UE.</w:t>
            </w:r>
          </w:p>
        </w:tc>
        <w:tc>
          <w:tcPr>
            <w:tcW w:w="1914" w:type="dxa"/>
            <w:tcBorders>
              <w:top w:val="single" w:sz="4" w:space="0" w:color="auto"/>
              <w:left w:val="single" w:sz="4" w:space="0" w:color="auto"/>
              <w:bottom w:val="single" w:sz="4" w:space="0" w:color="auto"/>
              <w:right w:val="single" w:sz="4" w:space="0" w:color="auto"/>
            </w:tcBorders>
          </w:tcPr>
          <w:p w14:paraId="41BA5DDB"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25AF6CD5"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55EEEBCA"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7A5A8B89" w14:textId="77777777" w:rsid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 xml:space="preserve">The UL transmission segment length for PUSCH / </w:t>
            </w:r>
            <w:proofErr w:type="gramStart"/>
            <w:r w:rsidRPr="00B046BE">
              <w:rPr>
                <w:rFonts w:ascii="Arial" w:hAnsi="Arial"/>
                <w:sz w:val="18"/>
              </w:rPr>
              <w:t>PRACH  refers</w:t>
            </w:r>
            <w:proofErr w:type="gramEnd"/>
            <w:r w:rsidRPr="00B046BE">
              <w:rPr>
                <w:rFonts w:ascii="Arial" w:hAnsi="Arial"/>
                <w:sz w:val="18"/>
              </w:rPr>
              <w:t xml:space="preserve"> to the duration of time during which the applied pre-compensation shall not be changed by the UE.</w:t>
            </w:r>
          </w:p>
          <w:p w14:paraId="49D87801" w14:textId="39970637" w:rsidR="00F0738D" w:rsidRPr="00B046BE" w:rsidRDefault="00F0738D" w:rsidP="00B046BE">
            <w:pPr>
              <w:keepNext/>
              <w:keepLines/>
              <w:overflowPunct/>
              <w:autoSpaceDE/>
              <w:autoSpaceDN/>
              <w:adjustRightInd/>
              <w:spacing w:after="0"/>
              <w:textAlignment w:val="auto"/>
              <w:rPr>
                <w:rFonts w:ascii="Arial" w:hAnsi="Arial"/>
                <w:sz w:val="18"/>
              </w:rPr>
            </w:pPr>
            <w:r w:rsidRPr="000E4054">
              <w:rPr>
                <w:rFonts w:ascii="Arial" w:hAnsi="Arial" w:cs="Arial"/>
                <w:color w:val="FF0000"/>
                <w:sz w:val="18"/>
                <w:szCs w:val="18"/>
              </w:rPr>
              <w:t xml:space="preserve">Note: This UE feature group is applicable only for </w:t>
            </w:r>
            <w:r>
              <w:rPr>
                <w:rFonts w:ascii="Arial" w:hAnsi="Arial" w:cs="Arial"/>
                <w:color w:val="FF0000"/>
                <w:sz w:val="18"/>
                <w:szCs w:val="18"/>
              </w:rPr>
              <w:t>IoT-</w:t>
            </w:r>
            <w:r w:rsidRPr="000E4054">
              <w:rPr>
                <w:rFonts w:ascii="Arial" w:hAnsi="Arial" w:cs="Arial"/>
                <w:color w:val="FF0000"/>
                <w:sz w:val="18"/>
                <w:szCs w:val="18"/>
              </w:rPr>
              <w:t>NTN cell, for terrestrial cell this feature is not supported</w:t>
            </w:r>
          </w:p>
        </w:tc>
        <w:tc>
          <w:tcPr>
            <w:tcW w:w="1907" w:type="dxa"/>
            <w:tcBorders>
              <w:top w:val="single" w:sz="4" w:space="0" w:color="auto"/>
              <w:left w:val="single" w:sz="4" w:space="0" w:color="auto"/>
              <w:bottom w:val="single" w:sz="4" w:space="0" w:color="auto"/>
              <w:right w:val="single" w:sz="4" w:space="0" w:color="auto"/>
            </w:tcBorders>
          </w:tcPr>
          <w:p w14:paraId="10808D1E"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Mandatory</w:t>
            </w:r>
          </w:p>
        </w:tc>
      </w:tr>
      <w:tr w:rsidR="00B046BE" w:rsidRPr="00B046BE" w14:paraId="75A4F6B4" w14:textId="77777777" w:rsidTr="000D39E7">
        <w:tc>
          <w:tcPr>
            <w:tcW w:w="2472" w:type="dxa"/>
            <w:tcBorders>
              <w:top w:val="single" w:sz="4" w:space="0" w:color="auto"/>
              <w:left w:val="single" w:sz="4" w:space="0" w:color="auto"/>
              <w:bottom w:val="single" w:sz="4" w:space="0" w:color="auto"/>
              <w:right w:val="single" w:sz="4" w:space="0" w:color="auto"/>
            </w:tcBorders>
          </w:tcPr>
          <w:p w14:paraId="0D4139E3" w14:textId="77777777" w:rsidR="00B046BE" w:rsidRPr="00B046BE" w:rsidRDefault="00B046BE" w:rsidP="00B046BE">
            <w:pPr>
              <w:keepNext/>
              <w:keepLines/>
              <w:overflowPunct/>
              <w:autoSpaceDE/>
              <w:autoSpaceDN/>
              <w:adjustRightInd/>
              <w:spacing w:after="0"/>
              <w:textAlignment w:val="auto"/>
              <w:rPr>
                <w:rFonts w:ascii="Arial" w:hAnsi="Arial" w:cs="Arial"/>
                <w:sz w:val="18"/>
                <w:szCs w:val="18"/>
                <w:lang w:eastAsia="ja-JP"/>
              </w:rPr>
            </w:pPr>
            <w:r w:rsidRPr="00B046BE">
              <w:rPr>
                <w:rFonts w:ascii="Arial" w:hAnsi="Arial" w:cs="Arial"/>
                <w:sz w:val="18"/>
                <w:szCs w:val="18"/>
                <w:lang w:eastAsia="ja-JP"/>
              </w:rPr>
              <w:t>2. LTE_NBIOT_eMTC_NTN</w:t>
            </w:r>
          </w:p>
        </w:tc>
        <w:tc>
          <w:tcPr>
            <w:tcW w:w="725" w:type="dxa"/>
            <w:tcBorders>
              <w:top w:val="single" w:sz="4" w:space="0" w:color="auto"/>
              <w:left w:val="single" w:sz="4" w:space="0" w:color="auto"/>
              <w:bottom w:val="single" w:sz="4" w:space="0" w:color="auto"/>
              <w:right w:val="single" w:sz="4" w:space="0" w:color="auto"/>
            </w:tcBorders>
          </w:tcPr>
          <w:p w14:paraId="1A56769C"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2-8</w:t>
            </w:r>
          </w:p>
        </w:tc>
        <w:tc>
          <w:tcPr>
            <w:tcW w:w="1687" w:type="dxa"/>
            <w:tcBorders>
              <w:top w:val="single" w:sz="4" w:space="0" w:color="auto"/>
              <w:left w:val="single" w:sz="4" w:space="0" w:color="auto"/>
              <w:bottom w:val="single" w:sz="4" w:space="0" w:color="auto"/>
              <w:right w:val="single" w:sz="4" w:space="0" w:color="auto"/>
            </w:tcBorders>
          </w:tcPr>
          <w:p w14:paraId="0210FA8B"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K_offset</w:t>
            </w:r>
          </w:p>
        </w:tc>
        <w:tc>
          <w:tcPr>
            <w:tcW w:w="2364" w:type="dxa"/>
            <w:tcBorders>
              <w:top w:val="single" w:sz="4" w:space="0" w:color="auto"/>
              <w:left w:val="single" w:sz="4" w:space="0" w:color="auto"/>
              <w:bottom w:val="single" w:sz="4" w:space="0" w:color="auto"/>
              <w:right w:val="single" w:sz="4" w:space="0" w:color="auto"/>
            </w:tcBorders>
          </w:tcPr>
          <w:p w14:paraId="60685EFE" w14:textId="77777777" w:rsidR="00B046BE" w:rsidRPr="00B046BE" w:rsidRDefault="00B046BE" w:rsidP="00B046BE">
            <w:pPr>
              <w:numPr>
                <w:ilvl w:val="0"/>
                <w:numId w:val="25"/>
              </w:numPr>
              <w:overflowPunct/>
              <w:autoSpaceDE/>
              <w:autoSpaceDN/>
              <w:adjustRightInd/>
              <w:spacing w:afterLines="50" w:after="120"/>
              <w:contextualSpacing/>
              <w:textAlignment w:val="auto"/>
              <w:rPr>
                <w:rFonts w:ascii="Arial" w:hAnsi="Arial"/>
                <w:sz w:val="18"/>
              </w:rPr>
            </w:pPr>
            <w:r w:rsidRPr="00B046BE">
              <w:rPr>
                <w:rFonts w:ascii="Arial" w:hAnsi="Arial"/>
                <w:sz w:val="18"/>
              </w:rPr>
              <w:t>Configuration of K_offset</w:t>
            </w:r>
          </w:p>
        </w:tc>
        <w:tc>
          <w:tcPr>
            <w:tcW w:w="1859" w:type="dxa"/>
            <w:tcBorders>
              <w:top w:val="single" w:sz="4" w:space="0" w:color="auto"/>
              <w:left w:val="single" w:sz="4" w:space="0" w:color="auto"/>
              <w:bottom w:val="single" w:sz="4" w:space="0" w:color="auto"/>
              <w:right w:val="single" w:sz="4" w:space="0" w:color="auto"/>
            </w:tcBorders>
          </w:tcPr>
          <w:p w14:paraId="1F110E78"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2-4</w:t>
            </w:r>
          </w:p>
        </w:tc>
        <w:tc>
          <w:tcPr>
            <w:tcW w:w="1235" w:type="dxa"/>
            <w:tcBorders>
              <w:top w:val="single" w:sz="4" w:space="0" w:color="auto"/>
              <w:left w:val="single" w:sz="4" w:space="0" w:color="auto"/>
              <w:bottom w:val="single" w:sz="4" w:space="0" w:color="auto"/>
              <w:right w:val="single" w:sz="4" w:space="0" w:color="auto"/>
            </w:tcBorders>
          </w:tcPr>
          <w:p w14:paraId="6C64D40E"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7327FB58"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5FE24C4A"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 xml:space="preserve">UE does not know the offset to apply for UL transmission </w:t>
            </w:r>
          </w:p>
        </w:tc>
        <w:tc>
          <w:tcPr>
            <w:tcW w:w="1914" w:type="dxa"/>
            <w:tcBorders>
              <w:top w:val="single" w:sz="4" w:space="0" w:color="auto"/>
              <w:left w:val="single" w:sz="4" w:space="0" w:color="auto"/>
              <w:bottom w:val="single" w:sz="4" w:space="0" w:color="auto"/>
              <w:right w:val="single" w:sz="4" w:space="0" w:color="auto"/>
            </w:tcBorders>
          </w:tcPr>
          <w:p w14:paraId="07958D53"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0F5B65D9"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405EEE41"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14E704D7"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 xml:space="preserve">The K_offset is a scheduling offset used for the identified timing relationships that need to be modified for IoT NTN. </w:t>
            </w:r>
          </w:p>
          <w:p w14:paraId="7DB15BAE"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 xml:space="preserve">For IoT NTN, support </w:t>
            </w:r>
            <w:proofErr w:type="gramStart"/>
            <w:r w:rsidRPr="00B046BE">
              <w:rPr>
                <w:rFonts w:ascii="Arial" w:hAnsi="Arial"/>
                <w:sz w:val="18"/>
              </w:rPr>
              <w:t>cell-specific</w:t>
            </w:r>
            <w:proofErr w:type="gramEnd"/>
            <w:r w:rsidRPr="00B046BE">
              <w:rPr>
                <w:rFonts w:ascii="Arial" w:hAnsi="Arial"/>
                <w:sz w:val="18"/>
              </w:rPr>
              <w:t xml:space="preserve"> Koffset configuration for use during initial access.</w:t>
            </w:r>
          </w:p>
          <w:p w14:paraId="20895DAE" w14:textId="77777777" w:rsid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For IoT NTN, support the use of UE-specific Koffset in CONNECTED mode.</w:t>
            </w:r>
          </w:p>
          <w:p w14:paraId="18172F87" w14:textId="218062D1" w:rsidR="00F0738D" w:rsidRPr="00B046BE" w:rsidRDefault="00F0738D" w:rsidP="00B046BE">
            <w:pPr>
              <w:keepNext/>
              <w:keepLines/>
              <w:overflowPunct/>
              <w:autoSpaceDE/>
              <w:autoSpaceDN/>
              <w:adjustRightInd/>
              <w:spacing w:after="0"/>
              <w:textAlignment w:val="auto"/>
              <w:rPr>
                <w:rFonts w:ascii="Arial" w:hAnsi="Arial"/>
                <w:sz w:val="18"/>
              </w:rPr>
            </w:pPr>
            <w:r w:rsidRPr="000E4054">
              <w:rPr>
                <w:rFonts w:ascii="Arial" w:hAnsi="Arial" w:cs="Arial"/>
                <w:color w:val="FF0000"/>
                <w:sz w:val="18"/>
                <w:szCs w:val="18"/>
              </w:rPr>
              <w:t xml:space="preserve">Note: This UE feature group is applicable only for </w:t>
            </w:r>
            <w:r>
              <w:rPr>
                <w:rFonts w:ascii="Arial" w:hAnsi="Arial" w:cs="Arial"/>
                <w:color w:val="FF0000"/>
                <w:sz w:val="18"/>
                <w:szCs w:val="18"/>
              </w:rPr>
              <w:t>IoT-</w:t>
            </w:r>
            <w:r w:rsidRPr="000E4054">
              <w:rPr>
                <w:rFonts w:ascii="Arial" w:hAnsi="Arial" w:cs="Arial"/>
                <w:color w:val="FF0000"/>
                <w:sz w:val="18"/>
                <w:szCs w:val="18"/>
              </w:rPr>
              <w:t>NTN cell, for terrestrial cell this feature is not supported</w:t>
            </w:r>
          </w:p>
        </w:tc>
        <w:tc>
          <w:tcPr>
            <w:tcW w:w="1907" w:type="dxa"/>
            <w:tcBorders>
              <w:top w:val="single" w:sz="4" w:space="0" w:color="auto"/>
              <w:left w:val="single" w:sz="4" w:space="0" w:color="auto"/>
              <w:bottom w:val="single" w:sz="4" w:space="0" w:color="auto"/>
              <w:right w:val="single" w:sz="4" w:space="0" w:color="auto"/>
            </w:tcBorders>
          </w:tcPr>
          <w:p w14:paraId="4C8717B2"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Mandatory</w:t>
            </w:r>
          </w:p>
        </w:tc>
      </w:tr>
      <w:tr w:rsidR="00B046BE" w:rsidRPr="00B046BE" w14:paraId="25EA2F7C" w14:textId="77777777" w:rsidTr="000D39E7">
        <w:tc>
          <w:tcPr>
            <w:tcW w:w="2472" w:type="dxa"/>
            <w:tcBorders>
              <w:top w:val="single" w:sz="4" w:space="0" w:color="auto"/>
              <w:left w:val="single" w:sz="4" w:space="0" w:color="auto"/>
              <w:bottom w:val="single" w:sz="4" w:space="0" w:color="auto"/>
              <w:right w:val="single" w:sz="4" w:space="0" w:color="auto"/>
            </w:tcBorders>
          </w:tcPr>
          <w:p w14:paraId="54995EEF" w14:textId="77777777" w:rsidR="00B046BE" w:rsidRPr="00B046BE" w:rsidRDefault="00B046BE" w:rsidP="00B046BE">
            <w:pPr>
              <w:keepNext/>
              <w:keepLines/>
              <w:overflowPunct/>
              <w:autoSpaceDE/>
              <w:autoSpaceDN/>
              <w:adjustRightInd/>
              <w:spacing w:after="0"/>
              <w:textAlignment w:val="auto"/>
              <w:rPr>
                <w:rFonts w:ascii="Arial" w:hAnsi="Arial" w:cs="Arial"/>
                <w:sz w:val="18"/>
                <w:szCs w:val="18"/>
                <w:lang w:eastAsia="ja-JP"/>
              </w:rPr>
            </w:pPr>
            <w:r w:rsidRPr="00B046BE">
              <w:rPr>
                <w:rFonts w:ascii="Arial" w:hAnsi="Arial" w:cs="Arial"/>
                <w:sz w:val="18"/>
                <w:szCs w:val="18"/>
                <w:lang w:eastAsia="ja-JP"/>
              </w:rPr>
              <w:t>2. LTE_NBIOT_eMTC_NTN</w:t>
            </w:r>
          </w:p>
        </w:tc>
        <w:tc>
          <w:tcPr>
            <w:tcW w:w="725" w:type="dxa"/>
            <w:tcBorders>
              <w:top w:val="single" w:sz="4" w:space="0" w:color="auto"/>
              <w:left w:val="single" w:sz="4" w:space="0" w:color="auto"/>
              <w:bottom w:val="single" w:sz="4" w:space="0" w:color="auto"/>
              <w:right w:val="single" w:sz="4" w:space="0" w:color="auto"/>
            </w:tcBorders>
          </w:tcPr>
          <w:p w14:paraId="1ADBE74B"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2-9</w:t>
            </w:r>
          </w:p>
        </w:tc>
        <w:tc>
          <w:tcPr>
            <w:tcW w:w="1687" w:type="dxa"/>
            <w:tcBorders>
              <w:top w:val="single" w:sz="4" w:space="0" w:color="auto"/>
              <w:left w:val="single" w:sz="4" w:space="0" w:color="auto"/>
              <w:bottom w:val="single" w:sz="4" w:space="0" w:color="auto"/>
              <w:right w:val="single" w:sz="4" w:space="0" w:color="auto"/>
            </w:tcBorders>
          </w:tcPr>
          <w:p w14:paraId="0144F461"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Start of RAR window</w:t>
            </w:r>
          </w:p>
        </w:tc>
        <w:tc>
          <w:tcPr>
            <w:tcW w:w="2364" w:type="dxa"/>
            <w:tcBorders>
              <w:top w:val="single" w:sz="4" w:space="0" w:color="auto"/>
              <w:left w:val="single" w:sz="4" w:space="0" w:color="auto"/>
              <w:bottom w:val="single" w:sz="4" w:space="0" w:color="auto"/>
              <w:right w:val="single" w:sz="4" w:space="0" w:color="auto"/>
            </w:tcBorders>
          </w:tcPr>
          <w:p w14:paraId="4D5FCF55" w14:textId="77777777" w:rsidR="00B046BE" w:rsidRPr="00B046BE" w:rsidRDefault="00B046BE" w:rsidP="00B046BE">
            <w:pPr>
              <w:numPr>
                <w:ilvl w:val="0"/>
                <w:numId w:val="25"/>
              </w:numPr>
              <w:overflowPunct/>
              <w:autoSpaceDE/>
              <w:autoSpaceDN/>
              <w:adjustRightInd/>
              <w:spacing w:afterLines="50" w:after="120"/>
              <w:contextualSpacing/>
              <w:textAlignment w:val="auto"/>
              <w:rPr>
                <w:rFonts w:ascii="Arial" w:hAnsi="Arial"/>
                <w:sz w:val="18"/>
              </w:rPr>
            </w:pPr>
            <w:r w:rsidRPr="00B046BE">
              <w:rPr>
                <w:rFonts w:ascii="Arial" w:hAnsi="Arial"/>
                <w:sz w:val="18"/>
              </w:rPr>
              <w:t>estimate of UE-gNB RTT</w:t>
            </w:r>
          </w:p>
          <w:p w14:paraId="6FA1BC28" w14:textId="77777777" w:rsidR="00B046BE" w:rsidRPr="00B046BE" w:rsidRDefault="00B046BE" w:rsidP="00B046BE">
            <w:pPr>
              <w:numPr>
                <w:ilvl w:val="0"/>
                <w:numId w:val="25"/>
              </w:numPr>
              <w:overflowPunct/>
              <w:autoSpaceDE/>
              <w:autoSpaceDN/>
              <w:adjustRightInd/>
              <w:spacing w:after="0"/>
              <w:contextualSpacing/>
              <w:textAlignment w:val="auto"/>
              <w:rPr>
                <w:rFonts w:ascii="Arial" w:hAnsi="Arial"/>
                <w:sz w:val="18"/>
              </w:rPr>
            </w:pPr>
            <w:r w:rsidRPr="00B046BE">
              <w:rPr>
                <w:rFonts w:ascii="Arial" w:hAnsi="Arial"/>
                <w:sz w:val="18"/>
              </w:rPr>
              <w:t>delaying the starts of ra-ResponseWindow</w:t>
            </w:r>
          </w:p>
        </w:tc>
        <w:tc>
          <w:tcPr>
            <w:tcW w:w="1859" w:type="dxa"/>
            <w:tcBorders>
              <w:top w:val="single" w:sz="4" w:space="0" w:color="auto"/>
              <w:left w:val="single" w:sz="4" w:space="0" w:color="auto"/>
              <w:bottom w:val="single" w:sz="4" w:space="0" w:color="auto"/>
              <w:right w:val="single" w:sz="4" w:space="0" w:color="auto"/>
            </w:tcBorders>
          </w:tcPr>
          <w:p w14:paraId="2ABC2C64"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2-4</w:t>
            </w:r>
          </w:p>
        </w:tc>
        <w:tc>
          <w:tcPr>
            <w:tcW w:w="1235" w:type="dxa"/>
            <w:tcBorders>
              <w:top w:val="single" w:sz="4" w:space="0" w:color="auto"/>
              <w:left w:val="single" w:sz="4" w:space="0" w:color="auto"/>
              <w:bottom w:val="single" w:sz="4" w:space="0" w:color="auto"/>
              <w:right w:val="single" w:sz="4" w:space="0" w:color="auto"/>
            </w:tcBorders>
          </w:tcPr>
          <w:p w14:paraId="0FFFB480"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FBC4081"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540382EF"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 xml:space="preserve">Due to large propagation delay in NTN the UE RAR is not expected within a few milliseconds like in TN. The UE does not need </w:t>
            </w:r>
            <w:proofErr w:type="gramStart"/>
            <w:r w:rsidRPr="00B046BE">
              <w:rPr>
                <w:rFonts w:ascii="Arial" w:hAnsi="Arial"/>
                <w:sz w:val="18"/>
                <w:lang w:eastAsia="ja-JP"/>
              </w:rPr>
              <w:t>to  monitor</w:t>
            </w:r>
            <w:proofErr w:type="gramEnd"/>
            <w:r w:rsidRPr="00B046BE">
              <w:rPr>
                <w:rFonts w:ascii="Arial" w:hAnsi="Arial"/>
                <w:sz w:val="18"/>
                <w:lang w:eastAsia="ja-JP"/>
              </w:rPr>
              <w:t xml:space="preserve"> the PDCCH for RAN right after transmitting RA Preamble.</w:t>
            </w:r>
          </w:p>
        </w:tc>
        <w:tc>
          <w:tcPr>
            <w:tcW w:w="1914" w:type="dxa"/>
            <w:tcBorders>
              <w:top w:val="single" w:sz="4" w:space="0" w:color="auto"/>
              <w:left w:val="single" w:sz="4" w:space="0" w:color="auto"/>
              <w:bottom w:val="single" w:sz="4" w:space="0" w:color="auto"/>
              <w:right w:val="single" w:sz="4" w:space="0" w:color="auto"/>
            </w:tcBorders>
          </w:tcPr>
          <w:p w14:paraId="25C2DE25"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3FD10AAE"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51939BDD"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26CF4148"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Start of ra-ResponseWindow is delayed by an offset.</w:t>
            </w:r>
          </w:p>
          <w:p w14:paraId="63C961AA" w14:textId="77777777" w:rsid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For IoT NTN, no modifications are needed for the calculation in NR NTN for estimate of UE-eNB RTT.</w:t>
            </w:r>
          </w:p>
          <w:p w14:paraId="78083262" w14:textId="7798C8D8" w:rsidR="00F0738D" w:rsidRPr="00B046BE" w:rsidRDefault="00F0738D" w:rsidP="00B046BE">
            <w:pPr>
              <w:keepNext/>
              <w:keepLines/>
              <w:overflowPunct/>
              <w:autoSpaceDE/>
              <w:autoSpaceDN/>
              <w:adjustRightInd/>
              <w:spacing w:after="0"/>
              <w:textAlignment w:val="auto"/>
              <w:rPr>
                <w:rFonts w:ascii="Arial" w:hAnsi="Arial"/>
                <w:sz w:val="18"/>
              </w:rPr>
            </w:pPr>
            <w:r w:rsidRPr="000E4054">
              <w:rPr>
                <w:rFonts w:ascii="Arial" w:hAnsi="Arial" w:cs="Arial"/>
                <w:color w:val="FF0000"/>
                <w:sz w:val="18"/>
                <w:szCs w:val="18"/>
              </w:rPr>
              <w:t xml:space="preserve">Note: This UE feature group is applicable only for </w:t>
            </w:r>
            <w:r>
              <w:rPr>
                <w:rFonts w:ascii="Arial" w:hAnsi="Arial" w:cs="Arial"/>
                <w:color w:val="FF0000"/>
                <w:sz w:val="18"/>
                <w:szCs w:val="18"/>
              </w:rPr>
              <w:t>IoT-</w:t>
            </w:r>
            <w:r w:rsidRPr="000E4054">
              <w:rPr>
                <w:rFonts w:ascii="Arial" w:hAnsi="Arial" w:cs="Arial"/>
                <w:color w:val="FF0000"/>
                <w:sz w:val="18"/>
                <w:szCs w:val="18"/>
              </w:rPr>
              <w:t>NTN cell, for terrestrial cell this feature is not supported</w:t>
            </w:r>
          </w:p>
        </w:tc>
        <w:tc>
          <w:tcPr>
            <w:tcW w:w="1907" w:type="dxa"/>
            <w:tcBorders>
              <w:top w:val="single" w:sz="4" w:space="0" w:color="auto"/>
              <w:left w:val="single" w:sz="4" w:space="0" w:color="auto"/>
              <w:bottom w:val="single" w:sz="4" w:space="0" w:color="auto"/>
              <w:right w:val="single" w:sz="4" w:space="0" w:color="auto"/>
            </w:tcBorders>
          </w:tcPr>
          <w:p w14:paraId="6D81C186"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Mandatory</w:t>
            </w:r>
          </w:p>
        </w:tc>
      </w:tr>
      <w:tr w:rsidR="00B046BE" w:rsidRPr="00B046BE" w14:paraId="36D77529" w14:textId="77777777" w:rsidTr="000D39E7">
        <w:tc>
          <w:tcPr>
            <w:tcW w:w="2472" w:type="dxa"/>
            <w:tcBorders>
              <w:top w:val="single" w:sz="4" w:space="0" w:color="auto"/>
              <w:left w:val="single" w:sz="4" w:space="0" w:color="auto"/>
              <w:bottom w:val="single" w:sz="4" w:space="0" w:color="auto"/>
              <w:right w:val="single" w:sz="4" w:space="0" w:color="auto"/>
            </w:tcBorders>
          </w:tcPr>
          <w:p w14:paraId="242C80FD" w14:textId="77777777" w:rsidR="00B046BE" w:rsidRPr="00B046BE" w:rsidRDefault="00B046BE" w:rsidP="00B046BE">
            <w:pPr>
              <w:keepNext/>
              <w:keepLines/>
              <w:overflowPunct/>
              <w:autoSpaceDE/>
              <w:autoSpaceDN/>
              <w:adjustRightInd/>
              <w:spacing w:after="0"/>
              <w:textAlignment w:val="auto"/>
              <w:rPr>
                <w:rFonts w:ascii="Arial" w:hAnsi="Arial" w:cs="Arial"/>
                <w:sz w:val="18"/>
                <w:szCs w:val="18"/>
                <w:lang w:eastAsia="ja-JP"/>
              </w:rPr>
            </w:pPr>
            <w:r w:rsidRPr="00B046BE">
              <w:rPr>
                <w:rFonts w:ascii="Arial" w:hAnsi="Arial" w:cs="Arial"/>
                <w:sz w:val="18"/>
                <w:szCs w:val="18"/>
                <w:lang w:eastAsia="ja-JP"/>
              </w:rPr>
              <w:lastRenderedPageBreak/>
              <w:t>2. LTE_NBIOT_eMTC_NTN</w:t>
            </w:r>
          </w:p>
        </w:tc>
        <w:tc>
          <w:tcPr>
            <w:tcW w:w="725" w:type="dxa"/>
            <w:tcBorders>
              <w:top w:val="single" w:sz="4" w:space="0" w:color="auto"/>
              <w:left w:val="single" w:sz="4" w:space="0" w:color="auto"/>
              <w:bottom w:val="single" w:sz="4" w:space="0" w:color="auto"/>
              <w:right w:val="single" w:sz="4" w:space="0" w:color="auto"/>
            </w:tcBorders>
          </w:tcPr>
          <w:p w14:paraId="5A5D34B0"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2-10</w:t>
            </w:r>
          </w:p>
        </w:tc>
        <w:tc>
          <w:tcPr>
            <w:tcW w:w="1687" w:type="dxa"/>
            <w:tcBorders>
              <w:top w:val="single" w:sz="4" w:space="0" w:color="auto"/>
              <w:left w:val="single" w:sz="4" w:space="0" w:color="auto"/>
              <w:bottom w:val="single" w:sz="4" w:space="0" w:color="auto"/>
              <w:right w:val="single" w:sz="4" w:space="0" w:color="auto"/>
            </w:tcBorders>
          </w:tcPr>
          <w:p w14:paraId="44BB286B"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UE reporting of information about the UE specific TA pre-compensation</w:t>
            </w:r>
          </w:p>
        </w:tc>
        <w:tc>
          <w:tcPr>
            <w:tcW w:w="2364" w:type="dxa"/>
            <w:tcBorders>
              <w:top w:val="single" w:sz="4" w:space="0" w:color="auto"/>
              <w:left w:val="single" w:sz="4" w:space="0" w:color="auto"/>
              <w:bottom w:val="single" w:sz="4" w:space="0" w:color="auto"/>
              <w:right w:val="single" w:sz="4" w:space="0" w:color="auto"/>
            </w:tcBorders>
          </w:tcPr>
          <w:p w14:paraId="5B0A5A99" w14:textId="77777777" w:rsidR="00B046BE" w:rsidRPr="00B046BE" w:rsidRDefault="00B046BE" w:rsidP="00B046BE">
            <w:pPr>
              <w:numPr>
                <w:ilvl w:val="0"/>
                <w:numId w:val="26"/>
              </w:numPr>
              <w:overflowPunct/>
              <w:autoSpaceDE/>
              <w:autoSpaceDN/>
              <w:adjustRightInd/>
              <w:spacing w:afterLines="50" w:after="120"/>
              <w:contextualSpacing/>
              <w:textAlignment w:val="auto"/>
              <w:rPr>
                <w:rFonts w:ascii="Arial" w:hAnsi="Arial"/>
                <w:sz w:val="18"/>
              </w:rPr>
            </w:pPr>
            <w:r w:rsidRPr="00B046BE">
              <w:rPr>
                <w:rFonts w:ascii="Arial" w:hAnsi="Arial"/>
                <w:sz w:val="18"/>
              </w:rPr>
              <w:t>The exact content of UE reporting of information about the UE specific TA pre-compensation</w:t>
            </w:r>
          </w:p>
          <w:p w14:paraId="37429598" w14:textId="77777777" w:rsidR="00B046BE" w:rsidRPr="00B046BE" w:rsidRDefault="00B046BE" w:rsidP="00B046BE">
            <w:pPr>
              <w:numPr>
                <w:ilvl w:val="0"/>
                <w:numId w:val="26"/>
              </w:numPr>
              <w:overflowPunct/>
              <w:autoSpaceDE/>
              <w:autoSpaceDN/>
              <w:adjustRightInd/>
              <w:spacing w:after="0"/>
              <w:contextualSpacing/>
              <w:textAlignment w:val="auto"/>
              <w:rPr>
                <w:rFonts w:ascii="Arial" w:hAnsi="Arial"/>
                <w:sz w:val="18"/>
              </w:rPr>
            </w:pPr>
            <w:r w:rsidRPr="00B046BE">
              <w:rPr>
                <w:rFonts w:ascii="Arial" w:hAnsi="Arial"/>
                <w:sz w:val="18"/>
              </w:rPr>
              <w:t>frequency of the reports</w:t>
            </w:r>
          </w:p>
          <w:p w14:paraId="1071C548" w14:textId="77777777" w:rsidR="00B046BE" w:rsidRPr="00B046BE" w:rsidRDefault="00B046BE" w:rsidP="00B046BE">
            <w:pPr>
              <w:numPr>
                <w:ilvl w:val="0"/>
                <w:numId w:val="26"/>
              </w:numPr>
              <w:overflowPunct/>
              <w:autoSpaceDE/>
              <w:autoSpaceDN/>
              <w:adjustRightInd/>
              <w:spacing w:after="0"/>
              <w:contextualSpacing/>
              <w:textAlignment w:val="auto"/>
              <w:rPr>
                <w:rFonts w:ascii="Arial" w:hAnsi="Arial"/>
                <w:sz w:val="18"/>
              </w:rPr>
            </w:pPr>
            <w:r w:rsidRPr="00B046BE">
              <w:rPr>
                <w:rFonts w:ascii="Arial" w:hAnsi="Arial"/>
                <w:sz w:val="18"/>
              </w:rPr>
              <w:t>granularity of the reported content</w:t>
            </w:r>
          </w:p>
        </w:tc>
        <w:tc>
          <w:tcPr>
            <w:tcW w:w="1859" w:type="dxa"/>
            <w:tcBorders>
              <w:top w:val="single" w:sz="4" w:space="0" w:color="auto"/>
              <w:left w:val="single" w:sz="4" w:space="0" w:color="auto"/>
              <w:bottom w:val="single" w:sz="4" w:space="0" w:color="auto"/>
              <w:right w:val="single" w:sz="4" w:space="0" w:color="auto"/>
            </w:tcBorders>
          </w:tcPr>
          <w:p w14:paraId="77AA258F"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2-4</w:t>
            </w:r>
          </w:p>
        </w:tc>
        <w:tc>
          <w:tcPr>
            <w:tcW w:w="1235" w:type="dxa"/>
            <w:tcBorders>
              <w:top w:val="single" w:sz="4" w:space="0" w:color="auto"/>
              <w:left w:val="single" w:sz="4" w:space="0" w:color="auto"/>
              <w:bottom w:val="single" w:sz="4" w:space="0" w:color="auto"/>
              <w:right w:val="single" w:sz="4" w:space="0" w:color="auto"/>
            </w:tcBorders>
          </w:tcPr>
          <w:p w14:paraId="556FC6F3"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C30369D"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20ABF2D0"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UL scheduling for FDD-HD: Use of UE-specific TA and/or K_offset to avoid UL-DL collisions in FDD-HD</w:t>
            </w:r>
          </w:p>
        </w:tc>
        <w:tc>
          <w:tcPr>
            <w:tcW w:w="1914" w:type="dxa"/>
            <w:tcBorders>
              <w:top w:val="single" w:sz="4" w:space="0" w:color="auto"/>
              <w:left w:val="single" w:sz="4" w:space="0" w:color="auto"/>
              <w:bottom w:val="single" w:sz="4" w:space="0" w:color="auto"/>
              <w:right w:val="single" w:sz="4" w:space="0" w:color="auto"/>
            </w:tcBorders>
          </w:tcPr>
          <w:p w14:paraId="7F8EDDDD"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26E2725B"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5849C554"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2124112B" w14:textId="77777777" w:rsidR="00B046BE" w:rsidRP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UE-specific TA reporting is supported in IoT-NTN</w:t>
            </w:r>
          </w:p>
          <w:p w14:paraId="763BD6BC" w14:textId="77777777" w:rsidR="00B046BE" w:rsidRDefault="00B046BE" w:rsidP="00B046BE">
            <w:pPr>
              <w:keepNext/>
              <w:keepLines/>
              <w:overflowPunct/>
              <w:autoSpaceDE/>
              <w:autoSpaceDN/>
              <w:adjustRightInd/>
              <w:spacing w:after="0"/>
              <w:textAlignment w:val="auto"/>
              <w:rPr>
                <w:rFonts w:ascii="Arial" w:hAnsi="Arial"/>
                <w:sz w:val="18"/>
              </w:rPr>
            </w:pPr>
            <w:r w:rsidRPr="00B046BE">
              <w:rPr>
                <w:rFonts w:ascii="Arial" w:hAnsi="Arial"/>
                <w:sz w:val="18"/>
              </w:rPr>
              <w:t>FFS: Detailed contents of report</w:t>
            </w:r>
          </w:p>
          <w:p w14:paraId="7FB35670" w14:textId="4D9EC6E4" w:rsidR="00F0738D" w:rsidRPr="00B046BE" w:rsidRDefault="00F0738D" w:rsidP="00B046BE">
            <w:pPr>
              <w:keepNext/>
              <w:keepLines/>
              <w:overflowPunct/>
              <w:autoSpaceDE/>
              <w:autoSpaceDN/>
              <w:adjustRightInd/>
              <w:spacing w:after="0"/>
              <w:textAlignment w:val="auto"/>
              <w:rPr>
                <w:rFonts w:ascii="Arial" w:hAnsi="Arial"/>
                <w:sz w:val="18"/>
              </w:rPr>
            </w:pPr>
            <w:r w:rsidRPr="000E4054">
              <w:rPr>
                <w:rFonts w:ascii="Arial" w:hAnsi="Arial" w:cs="Arial"/>
                <w:color w:val="FF0000"/>
                <w:sz w:val="18"/>
                <w:szCs w:val="18"/>
              </w:rPr>
              <w:t xml:space="preserve">Note: This UE feature group is applicable only for </w:t>
            </w:r>
            <w:r>
              <w:rPr>
                <w:rFonts w:ascii="Arial" w:hAnsi="Arial" w:cs="Arial"/>
                <w:color w:val="FF0000"/>
                <w:sz w:val="18"/>
                <w:szCs w:val="18"/>
              </w:rPr>
              <w:t>IoT-</w:t>
            </w:r>
            <w:r w:rsidRPr="000E4054">
              <w:rPr>
                <w:rFonts w:ascii="Arial" w:hAnsi="Arial" w:cs="Arial"/>
                <w:color w:val="FF0000"/>
                <w:sz w:val="18"/>
                <w:szCs w:val="18"/>
              </w:rPr>
              <w:t>NTN cell, for terrestrial cell this feature is not supported</w:t>
            </w:r>
          </w:p>
        </w:tc>
        <w:tc>
          <w:tcPr>
            <w:tcW w:w="1907" w:type="dxa"/>
            <w:tcBorders>
              <w:top w:val="single" w:sz="4" w:space="0" w:color="auto"/>
              <w:left w:val="single" w:sz="4" w:space="0" w:color="auto"/>
              <w:bottom w:val="single" w:sz="4" w:space="0" w:color="auto"/>
              <w:right w:val="single" w:sz="4" w:space="0" w:color="auto"/>
            </w:tcBorders>
          </w:tcPr>
          <w:p w14:paraId="1E081341" w14:textId="77777777" w:rsidR="00B046BE" w:rsidRPr="00B046BE" w:rsidRDefault="00B046BE" w:rsidP="00B046BE">
            <w:pPr>
              <w:keepNext/>
              <w:keepLines/>
              <w:overflowPunct/>
              <w:autoSpaceDE/>
              <w:autoSpaceDN/>
              <w:adjustRightInd/>
              <w:spacing w:after="0"/>
              <w:textAlignment w:val="auto"/>
              <w:rPr>
                <w:rFonts w:ascii="Arial" w:hAnsi="Arial"/>
                <w:sz w:val="18"/>
                <w:lang w:eastAsia="ja-JP"/>
              </w:rPr>
            </w:pPr>
            <w:r w:rsidRPr="00B046BE">
              <w:rPr>
                <w:rFonts w:ascii="Arial" w:hAnsi="Arial"/>
                <w:sz w:val="18"/>
                <w:lang w:eastAsia="ja-JP"/>
              </w:rPr>
              <w:t>Mandatory</w:t>
            </w:r>
          </w:p>
        </w:tc>
      </w:tr>
    </w:tbl>
    <w:p w14:paraId="0F357F3F" w14:textId="77777777" w:rsidR="005755C2" w:rsidRDefault="005755C2" w:rsidP="007C2277">
      <w:pPr>
        <w:rPr>
          <w:sz w:val="22"/>
          <w:szCs w:val="22"/>
          <w:lang w:val="en-US" w:eastAsia="zh-CN"/>
        </w:rPr>
      </w:pPr>
    </w:p>
    <w:sectPr w:rsidR="005755C2" w:rsidSect="007C2277">
      <w:footnotePr>
        <w:numRestart w:val="eachSect"/>
      </w:footnotePr>
      <w:pgSz w:w="23814" w:h="12242" w:orient="landscape" w:code="1"/>
      <w:pgMar w:top="1077" w:right="850" w:bottom="992" w:left="567"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7F7850" w14:textId="77777777" w:rsidR="008E51CA" w:rsidRDefault="008E51CA">
      <w:r>
        <w:separator/>
      </w:r>
    </w:p>
  </w:endnote>
  <w:endnote w:type="continuationSeparator" w:id="0">
    <w:p w14:paraId="4833ED4B" w14:textId="77777777" w:rsidR="008E51CA" w:rsidRDefault="008E51CA">
      <w:r>
        <w:continuationSeparator/>
      </w:r>
    </w:p>
  </w:endnote>
  <w:endnote w:type="continuationNotice" w:id="1">
    <w:p w14:paraId="5FC7AFDC" w14:textId="77777777" w:rsidR="008E51CA" w:rsidRDefault="008E5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8824CC" w:rsidRDefault="008824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8824CC" w:rsidRDefault="008824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8824CC" w:rsidRDefault="008824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E4BBC" w14:textId="77777777" w:rsidR="001B79C3" w:rsidRDefault="001B7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1D48E" w14:textId="77777777" w:rsidR="008E51CA" w:rsidRDefault="008E51CA">
      <w:r>
        <w:separator/>
      </w:r>
    </w:p>
  </w:footnote>
  <w:footnote w:type="continuationSeparator" w:id="0">
    <w:p w14:paraId="0A38A070" w14:textId="77777777" w:rsidR="008E51CA" w:rsidRDefault="008E51CA">
      <w:r>
        <w:continuationSeparator/>
      </w:r>
    </w:p>
  </w:footnote>
  <w:footnote w:type="continuationNotice" w:id="1">
    <w:p w14:paraId="0B1889BD" w14:textId="77777777" w:rsidR="008E51CA" w:rsidRDefault="008E51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8824CC" w:rsidRDefault="008824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E811E" w14:textId="77777777" w:rsidR="001B79C3" w:rsidRDefault="001B7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7BB43" w14:textId="77777777" w:rsidR="001B79C3" w:rsidRDefault="001B7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7430FE"/>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5" w15:restartNumberingAfterBreak="0">
    <w:nsid w:val="6FB12263"/>
    <w:multiLevelType w:val="hybridMultilevel"/>
    <w:tmpl w:val="F69EC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8"/>
  </w:num>
  <w:num w:numId="2">
    <w:abstractNumId w:val="6"/>
  </w:num>
  <w:num w:numId="3">
    <w:abstractNumId w:val="26"/>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21"/>
  </w:num>
  <w:num w:numId="8">
    <w:abstractNumId w:val="3"/>
  </w:num>
  <w:num w:numId="9">
    <w:abstractNumId w:val="7"/>
  </w:num>
  <w:num w:numId="10">
    <w:abstractNumId w:val="12"/>
  </w:num>
  <w:num w:numId="11">
    <w:abstractNumId w:val="1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4E04"/>
    <w:rsid w:val="00015B2E"/>
    <w:rsid w:val="00015BCB"/>
    <w:rsid w:val="000162B2"/>
    <w:rsid w:val="0001631F"/>
    <w:rsid w:val="00016DCE"/>
    <w:rsid w:val="00016FF6"/>
    <w:rsid w:val="0001729B"/>
    <w:rsid w:val="00017309"/>
    <w:rsid w:val="000178B8"/>
    <w:rsid w:val="00020331"/>
    <w:rsid w:val="000205C1"/>
    <w:rsid w:val="000208B8"/>
    <w:rsid w:val="00020936"/>
    <w:rsid w:val="00020A06"/>
    <w:rsid w:val="00020D61"/>
    <w:rsid w:val="0002130A"/>
    <w:rsid w:val="0002165C"/>
    <w:rsid w:val="00021802"/>
    <w:rsid w:val="00021C67"/>
    <w:rsid w:val="00021DEC"/>
    <w:rsid w:val="000222A9"/>
    <w:rsid w:val="000222F7"/>
    <w:rsid w:val="0002266E"/>
    <w:rsid w:val="000226C1"/>
    <w:rsid w:val="000228C4"/>
    <w:rsid w:val="00023545"/>
    <w:rsid w:val="00023564"/>
    <w:rsid w:val="000237C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06"/>
    <w:rsid w:val="00032B1F"/>
    <w:rsid w:val="000334D2"/>
    <w:rsid w:val="00033834"/>
    <w:rsid w:val="00033A55"/>
    <w:rsid w:val="00033AE8"/>
    <w:rsid w:val="00033E5C"/>
    <w:rsid w:val="00033EC5"/>
    <w:rsid w:val="00033F7F"/>
    <w:rsid w:val="000348D8"/>
    <w:rsid w:val="000349B7"/>
    <w:rsid w:val="00034DC2"/>
    <w:rsid w:val="000350B6"/>
    <w:rsid w:val="000351E0"/>
    <w:rsid w:val="0003540B"/>
    <w:rsid w:val="000356E1"/>
    <w:rsid w:val="00035958"/>
    <w:rsid w:val="00035CAB"/>
    <w:rsid w:val="000361FF"/>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D44"/>
    <w:rsid w:val="00042356"/>
    <w:rsid w:val="000426B1"/>
    <w:rsid w:val="000426DC"/>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A20"/>
    <w:rsid w:val="00056F10"/>
    <w:rsid w:val="000572A7"/>
    <w:rsid w:val="000573BE"/>
    <w:rsid w:val="00057419"/>
    <w:rsid w:val="00057460"/>
    <w:rsid w:val="00057511"/>
    <w:rsid w:val="00057980"/>
    <w:rsid w:val="00057AD4"/>
    <w:rsid w:val="00057D6D"/>
    <w:rsid w:val="00057DF9"/>
    <w:rsid w:val="00057F2C"/>
    <w:rsid w:val="00057F68"/>
    <w:rsid w:val="00057F6C"/>
    <w:rsid w:val="00057FE7"/>
    <w:rsid w:val="00060586"/>
    <w:rsid w:val="00060873"/>
    <w:rsid w:val="00060FDB"/>
    <w:rsid w:val="000612C5"/>
    <w:rsid w:val="00061E34"/>
    <w:rsid w:val="000621A9"/>
    <w:rsid w:val="00062439"/>
    <w:rsid w:val="0006263A"/>
    <w:rsid w:val="000632B7"/>
    <w:rsid w:val="00063480"/>
    <w:rsid w:val="00063485"/>
    <w:rsid w:val="000635FA"/>
    <w:rsid w:val="000636BA"/>
    <w:rsid w:val="00063E29"/>
    <w:rsid w:val="00063F57"/>
    <w:rsid w:val="0006436D"/>
    <w:rsid w:val="0006480B"/>
    <w:rsid w:val="00064A2B"/>
    <w:rsid w:val="00064D36"/>
    <w:rsid w:val="0006549C"/>
    <w:rsid w:val="000657F5"/>
    <w:rsid w:val="00065D64"/>
    <w:rsid w:val="000663FC"/>
    <w:rsid w:val="000667D1"/>
    <w:rsid w:val="00066E05"/>
    <w:rsid w:val="00067087"/>
    <w:rsid w:val="000671F8"/>
    <w:rsid w:val="00067200"/>
    <w:rsid w:val="000672E6"/>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17C"/>
    <w:rsid w:val="00074375"/>
    <w:rsid w:val="000743A0"/>
    <w:rsid w:val="00074BBA"/>
    <w:rsid w:val="00074BF5"/>
    <w:rsid w:val="000752CD"/>
    <w:rsid w:val="00075680"/>
    <w:rsid w:val="0007590A"/>
    <w:rsid w:val="00075999"/>
    <w:rsid w:val="00075C1F"/>
    <w:rsid w:val="0007695F"/>
    <w:rsid w:val="0007747E"/>
    <w:rsid w:val="00077484"/>
    <w:rsid w:val="00077579"/>
    <w:rsid w:val="000779F1"/>
    <w:rsid w:val="000805B2"/>
    <w:rsid w:val="00080786"/>
    <w:rsid w:val="00080C20"/>
    <w:rsid w:val="00080D68"/>
    <w:rsid w:val="00080D74"/>
    <w:rsid w:val="000814B2"/>
    <w:rsid w:val="00081534"/>
    <w:rsid w:val="00082152"/>
    <w:rsid w:val="000825BC"/>
    <w:rsid w:val="000826FF"/>
    <w:rsid w:val="00082A49"/>
    <w:rsid w:val="00082C64"/>
    <w:rsid w:val="00083322"/>
    <w:rsid w:val="00083391"/>
    <w:rsid w:val="00083788"/>
    <w:rsid w:val="000839CE"/>
    <w:rsid w:val="00083EBD"/>
    <w:rsid w:val="00084255"/>
    <w:rsid w:val="0008481B"/>
    <w:rsid w:val="00085201"/>
    <w:rsid w:val="00085239"/>
    <w:rsid w:val="0008579B"/>
    <w:rsid w:val="00085A3E"/>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3C9"/>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97D7E"/>
    <w:rsid w:val="000A02DC"/>
    <w:rsid w:val="000A0CA1"/>
    <w:rsid w:val="000A0E99"/>
    <w:rsid w:val="000A10D0"/>
    <w:rsid w:val="000A1995"/>
    <w:rsid w:val="000A1AD3"/>
    <w:rsid w:val="000A1B13"/>
    <w:rsid w:val="000A1D49"/>
    <w:rsid w:val="000A23B7"/>
    <w:rsid w:val="000A2D70"/>
    <w:rsid w:val="000A310F"/>
    <w:rsid w:val="000A336F"/>
    <w:rsid w:val="000A34D8"/>
    <w:rsid w:val="000A34F4"/>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991"/>
    <w:rsid w:val="000D3A6C"/>
    <w:rsid w:val="000D4324"/>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426"/>
    <w:rsid w:val="000E65A7"/>
    <w:rsid w:val="000E6635"/>
    <w:rsid w:val="000E6F62"/>
    <w:rsid w:val="000E7535"/>
    <w:rsid w:val="000E7F51"/>
    <w:rsid w:val="000F00D8"/>
    <w:rsid w:val="000F036B"/>
    <w:rsid w:val="000F04CE"/>
    <w:rsid w:val="000F06D8"/>
    <w:rsid w:val="000F095B"/>
    <w:rsid w:val="000F0E80"/>
    <w:rsid w:val="000F117A"/>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B40"/>
    <w:rsid w:val="000F3FFF"/>
    <w:rsid w:val="000F42EA"/>
    <w:rsid w:val="000F4CAF"/>
    <w:rsid w:val="000F4F44"/>
    <w:rsid w:val="000F50C5"/>
    <w:rsid w:val="000F52FB"/>
    <w:rsid w:val="000F53CB"/>
    <w:rsid w:val="000F5474"/>
    <w:rsid w:val="000F5626"/>
    <w:rsid w:val="000F56C7"/>
    <w:rsid w:val="000F604F"/>
    <w:rsid w:val="000F61A6"/>
    <w:rsid w:val="000F61C4"/>
    <w:rsid w:val="000F628F"/>
    <w:rsid w:val="000F64E2"/>
    <w:rsid w:val="000F6646"/>
    <w:rsid w:val="000F67AC"/>
    <w:rsid w:val="000F6881"/>
    <w:rsid w:val="000F6C32"/>
    <w:rsid w:val="000F6DB3"/>
    <w:rsid w:val="000F6E58"/>
    <w:rsid w:val="000F77C9"/>
    <w:rsid w:val="000F79EF"/>
    <w:rsid w:val="00100097"/>
    <w:rsid w:val="001000E9"/>
    <w:rsid w:val="00100169"/>
    <w:rsid w:val="001001C4"/>
    <w:rsid w:val="0010067A"/>
    <w:rsid w:val="00100880"/>
    <w:rsid w:val="00100C8A"/>
    <w:rsid w:val="00100CA1"/>
    <w:rsid w:val="00100FE2"/>
    <w:rsid w:val="00101489"/>
    <w:rsid w:val="00101513"/>
    <w:rsid w:val="00101A0E"/>
    <w:rsid w:val="00101ACE"/>
    <w:rsid w:val="00102147"/>
    <w:rsid w:val="001021B6"/>
    <w:rsid w:val="00102671"/>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5F7E"/>
    <w:rsid w:val="0010660E"/>
    <w:rsid w:val="0010690B"/>
    <w:rsid w:val="00106A95"/>
    <w:rsid w:val="00106CC3"/>
    <w:rsid w:val="00106E7E"/>
    <w:rsid w:val="001074D1"/>
    <w:rsid w:val="001074EE"/>
    <w:rsid w:val="00107600"/>
    <w:rsid w:val="001107FE"/>
    <w:rsid w:val="00110DBF"/>
    <w:rsid w:val="00110FBF"/>
    <w:rsid w:val="00111134"/>
    <w:rsid w:val="00111169"/>
    <w:rsid w:val="00111241"/>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6FD"/>
    <w:rsid w:val="0011677E"/>
    <w:rsid w:val="00116C03"/>
    <w:rsid w:val="00116C09"/>
    <w:rsid w:val="00116EBA"/>
    <w:rsid w:val="00117957"/>
    <w:rsid w:val="00117B90"/>
    <w:rsid w:val="00117C69"/>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5F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28F"/>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446"/>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1DA"/>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554"/>
    <w:rsid w:val="0014371C"/>
    <w:rsid w:val="00143932"/>
    <w:rsid w:val="00143D4A"/>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38A"/>
    <w:rsid w:val="001477C4"/>
    <w:rsid w:val="00147D65"/>
    <w:rsid w:val="00147D91"/>
    <w:rsid w:val="001508E1"/>
    <w:rsid w:val="00150B25"/>
    <w:rsid w:val="00150BAF"/>
    <w:rsid w:val="00150C26"/>
    <w:rsid w:val="00150CD5"/>
    <w:rsid w:val="00150EC3"/>
    <w:rsid w:val="00151096"/>
    <w:rsid w:val="001510AA"/>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02"/>
    <w:rsid w:val="00153A48"/>
    <w:rsid w:val="00153A6B"/>
    <w:rsid w:val="00153EEF"/>
    <w:rsid w:val="00153F29"/>
    <w:rsid w:val="001544AB"/>
    <w:rsid w:val="00154620"/>
    <w:rsid w:val="00154A24"/>
    <w:rsid w:val="00154AA8"/>
    <w:rsid w:val="00154B50"/>
    <w:rsid w:val="00154E96"/>
    <w:rsid w:val="00154F3A"/>
    <w:rsid w:val="00155026"/>
    <w:rsid w:val="00155F7A"/>
    <w:rsid w:val="00156260"/>
    <w:rsid w:val="0015674F"/>
    <w:rsid w:val="00157654"/>
    <w:rsid w:val="0016019C"/>
    <w:rsid w:val="00160674"/>
    <w:rsid w:val="00160786"/>
    <w:rsid w:val="00161118"/>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D0"/>
    <w:rsid w:val="0017095A"/>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769"/>
    <w:rsid w:val="00174BE4"/>
    <w:rsid w:val="00174DDB"/>
    <w:rsid w:val="00174EAE"/>
    <w:rsid w:val="00174F2F"/>
    <w:rsid w:val="00175152"/>
    <w:rsid w:val="001752EC"/>
    <w:rsid w:val="00175532"/>
    <w:rsid w:val="00175A7E"/>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6BE"/>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08C"/>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C4D"/>
    <w:rsid w:val="001A10FA"/>
    <w:rsid w:val="001A11B9"/>
    <w:rsid w:val="001A192D"/>
    <w:rsid w:val="001A258A"/>
    <w:rsid w:val="001A2838"/>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A6A"/>
    <w:rsid w:val="001A61A0"/>
    <w:rsid w:val="001A628F"/>
    <w:rsid w:val="001A6756"/>
    <w:rsid w:val="001A690D"/>
    <w:rsid w:val="001A6AFE"/>
    <w:rsid w:val="001A6F38"/>
    <w:rsid w:val="001A7062"/>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55B"/>
    <w:rsid w:val="001B46A1"/>
    <w:rsid w:val="001B4776"/>
    <w:rsid w:val="001B4B37"/>
    <w:rsid w:val="001B51F0"/>
    <w:rsid w:val="001B5332"/>
    <w:rsid w:val="001B53B3"/>
    <w:rsid w:val="001B54E9"/>
    <w:rsid w:val="001B5F67"/>
    <w:rsid w:val="001B62E0"/>
    <w:rsid w:val="001B6488"/>
    <w:rsid w:val="001B6619"/>
    <w:rsid w:val="001B6C77"/>
    <w:rsid w:val="001B70CF"/>
    <w:rsid w:val="001B716B"/>
    <w:rsid w:val="001B748B"/>
    <w:rsid w:val="001B79C3"/>
    <w:rsid w:val="001C002C"/>
    <w:rsid w:val="001C0085"/>
    <w:rsid w:val="001C0196"/>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1E3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902"/>
    <w:rsid w:val="001E2EEF"/>
    <w:rsid w:val="001E3188"/>
    <w:rsid w:val="001E31D1"/>
    <w:rsid w:val="001E32BE"/>
    <w:rsid w:val="001E36FC"/>
    <w:rsid w:val="001E3A45"/>
    <w:rsid w:val="001E3D0D"/>
    <w:rsid w:val="001E3FD6"/>
    <w:rsid w:val="001E420B"/>
    <w:rsid w:val="001E4583"/>
    <w:rsid w:val="001E4704"/>
    <w:rsid w:val="001E4841"/>
    <w:rsid w:val="001E50CB"/>
    <w:rsid w:val="001E5BB2"/>
    <w:rsid w:val="001E5D1F"/>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3F09"/>
    <w:rsid w:val="001F45E8"/>
    <w:rsid w:val="001F4AE1"/>
    <w:rsid w:val="001F4CB5"/>
    <w:rsid w:val="001F4E57"/>
    <w:rsid w:val="001F507F"/>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E33"/>
    <w:rsid w:val="00210F42"/>
    <w:rsid w:val="00211042"/>
    <w:rsid w:val="00211345"/>
    <w:rsid w:val="00211390"/>
    <w:rsid w:val="002114FA"/>
    <w:rsid w:val="002116F5"/>
    <w:rsid w:val="00211C49"/>
    <w:rsid w:val="00211D31"/>
    <w:rsid w:val="00211DD9"/>
    <w:rsid w:val="00211F31"/>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BEB"/>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5581"/>
    <w:rsid w:val="00235698"/>
    <w:rsid w:val="00235724"/>
    <w:rsid w:val="00235878"/>
    <w:rsid w:val="0023598D"/>
    <w:rsid w:val="00235D72"/>
    <w:rsid w:val="002361D3"/>
    <w:rsid w:val="00236EB2"/>
    <w:rsid w:val="00236F55"/>
    <w:rsid w:val="00236F71"/>
    <w:rsid w:val="00237189"/>
    <w:rsid w:val="0023729A"/>
    <w:rsid w:val="002373FC"/>
    <w:rsid w:val="0023768D"/>
    <w:rsid w:val="0023776F"/>
    <w:rsid w:val="00237C6F"/>
    <w:rsid w:val="00237D22"/>
    <w:rsid w:val="00240B7D"/>
    <w:rsid w:val="00240E55"/>
    <w:rsid w:val="00240F76"/>
    <w:rsid w:val="0024103F"/>
    <w:rsid w:val="00241C7B"/>
    <w:rsid w:val="002421F2"/>
    <w:rsid w:val="0024224E"/>
    <w:rsid w:val="002425D0"/>
    <w:rsid w:val="002425DE"/>
    <w:rsid w:val="00242B2A"/>
    <w:rsid w:val="00242CAE"/>
    <w:rsid w:val="002437F9"/>
    <w:rsid w:val="00243ACD"/>
    <w:rsid w:val="00243DCC"/>
    <w:rsid w:val="00243EC6"/>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63B"/>
    <w:rsid w:val="0024785A"/>
    <w:rsid w:val="00247B6E"/>
    <w:rsid w:val="00247C82"/>
    <w:rsid w:val="00247D8E"/>
    <w:rsid w:val="00247DC3"/>
    <w:rsid w:val="00247DD1"/>
    <w:rsid w:val="00250244"/>
    <w:rsid w:val="00250D9C"/>
    <w:rsid w:val="00251117"/>
    <w:rsid w:val="00251231"/>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0EE"/>
    <w:rsid w:val="002571C8"/>
    <w:rsid w:val="002572F1"/>
    <w:rsid w:val="00257500"/>
    <w:rsid w:val="00257578"/>
    <w:rsid w:val="0025796E"/>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2EBE"/>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077"/>
    <w:rsid w:val="0026716C"/>
    <w:rsid w:val="00267825"/>
    <w:rsid w:val="00267CFE"/>
    <w:rsid w:val="00267EF5"/>
    <w:rsid w:val="00267F60"/>
    <w:rsid w:val="0027027B"/>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3D21"/>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1EC5"/>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739"/>
    <w:rsid w:val="002C3AE4"/>
    <w:rsid w:val="002C3B99"/>
    <w:rsid w:val="002C3C99"/>
    <w:rsid w:val="002C3E89"/>
    <w:rsid w:val="002C4110"/>
    <w:rsid w:val="002C44BB"/>
    <w:rsid w:val="002C44DB"/>
    <w:rsid w:val="002C47BD"/>
    <w:rsid w:val="002C4FAC"/>
    <w:rsid w:val="002C5533"/>
    <w:rsid w:val="002C5620"/>
    <w:rsid w:val="002C5A6B"/>
    <w:rsid w:val="002C5DAF"/>
    <w:rsid w:val="002C61E0"/>
    <w:rsid w:val="002C6E3E"/>
    <w:rsid w:val="002C782F"/>
    <w:rsid w:val="002C7B03"/>
    <w:rsid w:val="002C7B0D"/>
    <w:rsid w:val="002C7D95"/>
    <w:rsid w:val="002D001E"/>
    <w:rsid w:val="002D029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544"/>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29"/>
    <w:rsid w:val="002E0E94"/>
    <w:rsid w:val="002E169E"/>
    <w:rsid w:val="002E16BC"/>
    <w:rsid w:val="002E1941"/>
    <w:rsid w:val="002E21D5"/>
    <w:rsid w:val="002E251B"/>
    <w:rsid w:val="002E2923"/>
    <w:rsid w:val="002E2A53"/>
    <w:rsid w:val="002E2A76"/>
    <w:rsid w:val="002E2BB0"/>
    <w:rsid w:val="002E306D"/>
    <w:rsid w:val="002E3358"/>
    <w:rsid w:val="002E3402"/>
    <w:rsid w:val="002E3624"/>
    <w:rsid w:val="002E3653"/>
    <w:rsid w:val="002E36AE"/>
    <w:rsid w:val="002E382A"/>
    <w:rsid w:val="002E38B7"/>
    <w:rsid w:val="002E43BA"/>
    <w:rsid w:val="002E440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3"/>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6EE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A91"/>
    <w:rsid w:val="00312D99"/>
    <w:rsid w:val="003137A0"/>
    <w:rsid w:val="003137ED"/>
    <w:rsid w:val="00313C4F"/>
    <w:rsid w:val="003141C2"/>
    <w:rsid w:val="00314629"/>
    <w:rsid w:val="0031483E"/>
    <w:rsid w:val="00315034"/>
    <w:rsid w:val="0031518B"/>
    <w:rsid w:val="0031586B"/>
    <w:rsid w:val="0031599D"/>
    <w:rsid w:val="00315F72"/>
    <w:rsid w:val="00316072"/>
    <w:rsid w:val="00316265"/>
    <w:rsid w:val="00316786"/>
    <w:rsid w:val="00316A94"/>
    <w:rsid w:val="00316C58"/>
    <w:rsid w:val="00316E46"/>
    <w:rsid w:val="00317050"/>
    <w:rsid w:val="003172FB"/>
    <w:rsid w:val="00317884"/>
    <w:rsid w:val="0031792D"/>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2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2E86"/>
    <w:rsid w:val="00333238"/>
    <w:rsid w:val="0033392F"/>
    <w:rsid w:val="00333EF1"/>
    <w:rsid w:val="003349CA"/>
    <w:rsid w:val="00335097"/>
    <w:rsid w:val="00335250"/>
    <w:rsid w:val="0033592C"/>
    <w:rsid w:val="00335BAA"/>
    <w:rsid w:val="00335E2A"/>
    <w:rsid w:val="00336225"/>
    <w:rsid w:val="00336760"/>
    <w:rsid w:val="00336780"/>
    <w:rsid w:val="003367C5"/>
    <w:rsid w:val="00336B1A"/>
    <w:rsid w:val="003370D3"/>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4C76"/>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0B62"/>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56F2"/>
    <w:rsid w:val="00366EB2"/>
    <w:rsid w:val="00367080"/>
    <w:rsid w:val="00367D2F"/>
    <w:rsid w:val="003700A7"/>
    <w:rsid w:val="00370285"/>
    <w:rsid w:val="003704EE"/>
    <w:rsid w:val="003705F6"/>
    <w:rsid w:val="00370880"/>
    <w:rsid w:val="00370A29"/>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8B"/>
    <w:rsid w:val="00375FFC"/>
    <w:rsid w:val="003762AE"/>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3BA"/>
    <w:rsid w:val="0038556E"/>
    <w:rsid w:val="00385737"/>
    <w:rsid w:val="00385823"/>
    <w:rsid w:val="00385BD7"/>
    <w:rsid w:val="00386063"/>
    <w:rsid w:val="0038627A"/>
    <w:rsid w:val="003862D5"/>
    <w:rsid w:val="00386498"/>
    <w:rsid w:val="00386A15"/>
    <w:rsid w:val="00386B67"/>
    <w:rsid w:val="00386B71"/>
    <w:rsid w:val="0038702D"/>
    <w:rsid w:val="003870BC"/>
    <w:rsid w:val="0038732E"/>
    <w:rsid w:val="00387488"/>
    <w:rsid w:val="00387675"/>
    <w:rsid w:val="00387771"/>
    <w:rsid w:val="00387854"/>
    <w:rsid w:val="00387B2B"/>
    <w:rsid w:val="00387CA3"/>
    <w:rsid w:val="00387D1D"/>
    <w:rsid w:val="003904B1"/>
    <w:rsid w:val="003907D2"/>
    <w:rsid w:val="003908DC"/>
    <w:rsid w:val="00390B8F"/>
    <w:rsid w:val="00390C56"/>
    <w:rsid w:val="0039122C"/>
    <w:rsid w:val="0039124D"/>
    <w:rsid w:val="003914C2"/>
    <w:rsid w:val="00391A92"/>
    <w:rsid w:val="003926BE"/>
    <w:rsid w:val="00392DB8"/>
    <w:rsid w:val="00393B78"/>
    <w:rsid w:val="00393C09"/>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4D"/>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CE4"/>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374"/>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2EE6"/>
    <w:rsid w:val="003C30C6"/>
    <w:rsid w:val="003C36CF"/>
    <w:rsid w:val="003C3B73"/>
    <w:rsid w:val="003C4002"/>
    <w:rsid w:val="003C4250"/>
    <w:rsid w:val="003C4753"/>
    <w:rsid w:val="003C4952"/>
    <w:rsid w:val="003C4D16"/>
    <w:rsid w:val="003C4D8C"/>
    <w:rsid w:val="003C4F25"/>
    <w:rsid w:val="003C5046"/>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9E8"/>
    <w:rsid w:val="003E03FC"/>
    <w:rsid w:val="003E089F"/>
    <w:rsid w:val="003E0A9E"/>
    <w:rsid w:val="003E0AD0"/>
    <w:rsid w:val="003E0ADB"/>
    <w:rsid w:val="003E0CE4"/>
    <w:rsid w:val="003E0D33"/>
    <w:rsid w:val="003E0F2A"/>
    <w:rsid w:val="003E1304"/>
    <w:rsid w:val="003E149E"/>
    <w:rsid w:val="003E1723"/>
    <w:rsid w:val="003E1748"/>
    <w:rsid w:val="003E187F"/>
    <w:rsid w:val="003E18AD"/>
    <w:rsid w:val="003E19B9"/>
    <w:rsid w:val="003E1CF4"/>
    <w:rsid w:val="003E240A"/>
    <w:rsid w:val="003E273B"/>
    <w:rsid w:val="003E2BF4"/>
    <w:rsid w:val="003E2CCC"/>
    <w:rsid w:val="003E2EB5"/>
    <w:rsid w:val="003E30BB"/>
    <w:rsid w:val="003E34E1"/>
    <w:rsid w:val="003E3524"/>
    <w:rsid w:val="003E3C5B"/>
    <w:rsid w:val="003E3D11"/>
    <w:rsid w:val="003E40C9"/>
    <w:rsid w:val="003E4155"/>
    <w:rsid w:val="003E43E9"/>
    <w:rsid w:val="003E4CDB"/>
    <w:rsid w:val="003E52EB"/>
    <w:rsid w:val="003E61AF"/>
    <w:rsid w:val="003E6592"/>
    <w:rsid w:val="003E6928"/>
    <w:rsid w:val="003E703E"/>
    <w:rsid w:val="003E73BC"/>
    <w:rsid w:val="003E7A07"/>
    <w:rsid w:val="003F0656"/>
    <w:rsid w:val="003F08F5"/>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2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0DB"/>
    <w:rsid w:val="0040015E"/>
    <w:rsid w:val="00400427"/>
    <w:rsid w:val="00400618"/>
    <w:rsid w:val="00400763"/>
    <w:rsid w:val="004010CF"/>
    <w:rsid w:val="004012FA"/>
    <w:rsid w:val="004017C6"/>
    <w:rsid w:val="00401907"/>
    <w:rsid w:val="004021C9"/>
    <w:rsid w:val="004024AB"/>
    <w:rsid w:val="00402F2C"/>
    <w:rsid w:val="0040303D"/>
    <w:rsid w:val="0040322B"/>
    <w:rsid w:val="004032B9"/>
    <w:rsid w:val="0040379F"/>
    <w:rsid w:val="00403805"/>
    <w:rsid w:val="00403824"/>
    <w:rsid w:val="00403D29"/>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C97"/>
    <w:rsid w:val="00425FFD"/>
    <w:rsid w:val="004262F8"/>
    <w:rsid w:val="00426319"/>
    <w:rsid w:val="00426442"/>
    <w:rsid w:val="0042654A"/>
    <w:rsid w:val="004265D1"/>
    <w:rsid w:val="00426A93"/>
    <w:rsid w:val="00426DFA"/>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CB8"/>
    <w:rsid w:val="00454F08"/>
    <w:rsid w:val="0045502E"/>
    <w:rsid w:val="00455105"/>
    <w:rsid w:val="004553ED"/>
    <w:rsid w:val="0045584A"/>
    <w:rsid w:val="00455C09"/>
    <w:rsid w:val="00456114"/>
    <w:rsid w:val="00456272"/>
    <w:rsid w:val="00456971"/>
    <w:rsid w:val="004569CC"/>
    <w:rsid w:val="00456B9B"/>
    <w:rsid w:val="00456C7A"/>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37B"/>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0A5"/>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39"/>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353"/>
    <w:rsid w:val="0049349F"/>
    <w:rsid w:val="004935A4"/>
    <w:rsid w:val="00493D08"/>
    <w:rsid w:val="0049492C"/>
    <w:rsid w:val="00494D25"/>
    <w:rsid w:val="00494E75"/>
    <w:rsid w:val="00495071"/>
    <w:rsid w:val="00495227"/>
    <w:rsid w:val="004961DB"/>
    <w:rsid w:val="0049653E"/>
    <w:rsid w:val="0049681D"/>
    <w:rsid w:val="00496BEF"/>
    <w:rsid w:val="0049792C"/>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1A0"/>
    <w:rsid w:val="004A5270"/>
    <w:rsid w:val="004A5667"/>
    <w:rsid w:val="004A57FC"/>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2D22"/>
    <w:rsid w:val="004B3125"/>
    <w:rsid w:val="004B3A42"/>
    <w:rsid w:val="004B3C3F"/>
    <w:rsid w:val="004B4372"/>
    <w:rsid w:val="004B4433"/>
    <w:rsid w:val="004B45A2"/>
    <w:rsid w:val="004B4A0F"/>
    <w:rsid w:val="004B4AA2"/>
    <w:rsid w:val="004B4C67"/>
    <w:rsid w:val="004B50E0"/>
    <w:rsid w:val="004B55EC"/>
    <w:rsid w:val="004B5ABE"/>
    <w:rsid w:val="004B5E6E"/>
    <w:rsid w:val="004B5F75"/>
    <w:rsid w:val="004B6271"/>
    <w:rsid w:val="004B6301"/>
    <w:rsid w:val="004B6398"/>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671"/>
    <w:rsid w:val="004C6834"/>
    <w:rsid w:val="004C6915"/>
    <w:rsid w:val="004C6CB9"/>
    <w:rsid w:val="004C6D25"/>
    <w:rsid w:val="004C718C"/>
    <w:rsid w:val="004C730E"/>
    <w:rsid w:val="004C7739"/>
    <w:rsid w:val="004C7BDF"/>
    <w:rsid w:val="004C7D7C"/>
    <w:rsid w:val="004C7E12"/>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6A87"/>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680"/>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C7A"/>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139"/>
    <w:rsid w:val="004F46D8"/>
    <w:rsid w:val="004F4760"/>
    <w:rsid w:val="004F48AE"/>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2B"/>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46E"/>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13"/>
    <w:rsid w:val="00515271"/>
    <w:rsid w:val="00515907"/>
    <w:rsid w:val="00515E2B"/>
    <w:rsid w:val="00516B96"/>
    <w:rsid w:val="00516D2A"/>
    <w:rsid w:val="00516E1F"/>
    <w:rsid w:val="00517186"/>
    <w:rsid w:val="0051739D"/>
    <w:rsid w:val="005173A4"/>
    <w:rsid w:val="00517510"/>
    <w:rsid w:val="0051770E"/>
    <w:rsid w:val="00517C36"/>
    <w:rsid w:val="0052001B"/>
    <w:rsid w:val="005200E6"/>
    <w:rsid w:val="005205C8"/>
    <w:rsid w:val="005205D5"/>
    <w:rsid w:val="00521D65"/>
    <w:rsid w:val="005221A4"/>
    <w:rsid w:val="005223AF"/>
    <w:rsid w:val="005226AB"/>
    <w:rsid w:val="005227EA"/>
    <w:rsid w:val="00522E52"/>
    <w:rsid w:val="00522FB5"/>
    <w:rsid w:val="00523366"/>
    <w:rsid w:val="00523E18"/>
    <w:rsid w:val="00523EA0"/>
    <w:rsid w:val="00523F32"/>
    <w:rsid w:val="0052422C"/>
    <w:rsid w:val="005244D5"/>
    <w:rsid w:val="005245A9"/>
    <w:rsid w:val="005248C4"/>
    <w:rsid w:val="00524AD1"/>
    <w:rsid w:val="00524B43"/>
    <w:rsid w:val="00524D2A"/>
    <w:rsid w:val="00524E6A"/>
    <w:rsid w:val="005251DA"/>
    <w:rsid w:val="00525407"/>
    <w:rsid w:val="00525618"/>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14E"/>
    <w:rsid w:val="0053173A"/>
    <w:rsid w:val="00531824"/>
    <w:rsid w:val="005318B6"/>
    <w:rsid w:val="00531AF4"/>
    <w:rsid w:val="00531F71"/>
    <w:rsid w:val="00532258"/>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6A"/>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B46"/>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50047"/>
    <w:rsid w:val="00550470"/>
    <w:rsid w:val="005504D9"/>
    <w:rsid w:val="00550C45"/>
    <w:rsid w:val="00550C5D"/>
    <w:rsid w:val="00550C80"/>
    <w:rsid w:val="00550D6F"/>
    <w:rsid w:val="00550E94"/>
    <w:rsid w:val="005511B1"/>
    <w:rsid w:val="00551489"/>
    <w:rsid w:val="00551E1E"/>
    <w:rsid w:val="00551E52"/>
    <w:rsid w:val="00552038"/>
    <w:rsid w:val="0055233E"/>
    <w:rsid w:val="00552569"/>
    <w:rsid w:val="005526F2"/>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083"/>
    <w:rsid w:val="005608D5"/>
    <w:rsid w:val="00560955"/>
    <w:rsid w:val="00560AC9"/>
    <w:rsid w:val="00560B0B"/>
    <w:rsid w:val="00560DDA"/>
    <w:rsid w:val="00560F9A"/>
    <w:rsid w:val="00561250"/>
    <w:rsid w:val="0056134D"/>
    <w:rsid w:val="0056144B"/>
    <w:rsid w:val="005617E8"/>
    <w:rsid w:val="00561A95"/>
    <w:rsid w:val="00561BF6"/>
    <w:rsid w:val="00561E4A"/>
    <w:rsid w:val="005625FE"/>
    <w:rsid w:val="00562C27"/>
    <w:rsid w:val="00562CDC"/>
    <w:rsid w:val="00563855"/>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93F"/>
    <w:rsid w:val="00572E58"/>
    <w:rsid w:val="00572F26"/>
    <w:rsid w:val="00572F28"/>
    <w:rsid w:val="005730FF"/>
    <w:rsid w:val="0057317F"/>
    <w:rsid w:val="005732CD"/>
    <w:rsid w:val="0057337E"/>
    <w:rsid w:val="0057380A"/>
    <w:rsid w:val="0057383E"/>
    <w:rsid w:val="00573948"/>
    <w:rsid w:val="00573BB0"/>
    <w:rsid w:val="00573D2B"/>
    <w:rsid w:val="00573F24"/>
    <w:rsid w:val="00573F2C"/>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19A"/>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CF8"/>
    <w:rsid w:val="00585E7D"/>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7CE"/>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4E"/>
    <w:rsid w:val="005A0753"/>
    <w:rsid w:val="005A0CB6"/>
    <w:rsid w:val="005A129E"/>
    <w:rsid w:val="005A16FE"/>
    <w:rsid w:val="005A1D03"/>
    <w:rsid w:val="005A2174"/>
    <w:rsid w:val="005A2229"/>
    <w:rsid w:val="005A2B94"/>
    <w:rsid w:val="005A2BB3"/>
    <w:rsid w:val="005A320D"/>
    <w:rsid w:val="005A36E3"/>
    <w:rsid w:val="005A38FE"/>
    <w:rsid w:val="005A3A31"/>
    <w:rsid w:val="005A3AF1"/>
    <w:rsid w:val="005A3B1E"/>
    <w:rsid w:val="005A40D5"/>
    <w:rsid w:val="005A438E"/>
    <w:rsid w:val="005A46B9"/>
    <w:rsid w:val="005A4999"/>
    <w:rsid w:val="005A4E38"/>
    <w:rsid w:val="005A50CE"/>
    <w:rsid w:val="005A588D"/>
    <w:rsid w:val="005A59CF"/>
    <w:rsid w:val="005A6A3A"/>
    <w:rsid w:val="005A6FA1"/>
    <w:rsid w:val="005A7F72"/>
    <w:rsid w:val="005B0604"/>
    <w:rsid w:val="005B08FF"/>
    <w:rsid w:val="005B139B"/>
    <w:rsid w:val="005B15CE"/>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034"/>
    <w:rsid w:val="005B6E03"/>
    <w:rsid w:val="005B6FAE"/>
    <w:rsid w:val="005B703E"/>
    <w:rsid w:val="005B70E8"/>
    <w:rsid w:val="005B7824"/>
    <w:rsid w:val="005B7A63"/>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481"/>
    <w:rsid w:val="005C4A30"/>
    <w:rsid w:val="005C4B4D"/>
    <w:rsid w:val="005C4DE3"/>
    <w:rsid w:val="005C4EA1"/>
    <w:rsid w:val="005C5379"/>
    <w:rsid w:val="005C56B4"/>
    <w:rsid w:val="005C5769"/>
    <w:rsid w:val="005C5849"/>
    <w:rsid w:val="005C6091"/>
    <w:rsid w:val="005C63F0"/>
    <w:rsid w:val="005C698C"/>
    <w:rsid w:val="005C7340"/>
    <w:rsid w:val="005C7713"/>
    <w:rsid w:val="005C7A54"/>
    <w:rsid w:val="005C7CAD"/>
    <w:rsid w:val="005C7EF8"/>
    <w:rsid w:val="005D0102"/>
    <w:rsid w:val="005D02FA"/>
    <w:rsid w:val="005D047B"/>
    <w:rsid w:val="005D0790"/>
    <w:rsid w:val="005D12A2"/>
    <w:rsid w:val="005D1F85"/>
    <w:rsid w:val="005D20FC"/>
    <w:rsid w:val="005D2189"/>
    <w:rsid w:val="005D241F"/>
    <w:rsid w:val="005D24A2"/>
    <w:rsid w:val="005D24DE"/>
    <w:rsid w:val="005D26D7"/>
    <w:rsid w:val="005D2990"/>
    <w:rsid w:val="005D2A49"/>
    <w:rsid w:val="005D2A80"/>
    <w:rsid w:val="005D2AAC"/>
    <w:rsid w:val="005D2B7E"/>
    <w:rsid w:val="005D2EE8"/>
    <w:rsid w:val="005D31D3"/>
    <w:rsid w:val="005D3221"/>
    <w:rsid w:val="005D334C"/>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3FB3"/>
    <w:rsid w:val="005E4010"/>
    <w:rsid w:val="005E4377"/>
    <w:rsid w:val="005E48F7"/>
    <w:rsid w:val="005E4F80"/>
    <w:rsid w:val="005E4FBD"/>
    <w:rsid w:val="005E5009"/>
    <w:rsid w:val="005E5486"/>
    <w:rsid w:val="005E5563"/>
    <w:rsid w:val="005E580A"/>
    <w:rsid w:val="005E5896"/>
    <w:rsid w:val="005E6444"/>
    <w:rsid w:val="005E66F1"/>
    <w:rsid w:val="005E6888"/>
    <w:rsid w:val="005E6AFB"/>
    <w:rsid w:val="005E6BD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B2D"/>
    <w:rsid w:val="005F660A"/>
    <w:rsid w:val="005F6697"/>
    <w:rsid w:val="005F6C51"/>
    <w:rsid w:val="005F6D0A"/>
    <w:rsid w:val="005F6E84"/>
    <w:rsid w:val="005F6F9C"/>
    <w:rsid w:val="005F6FFC"/>
    <w:rsid w:val="005F7311"/>
    <w:rsid w:val="005F750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1E6"/>
    <w:rsid w:val="006074B1"/>
    <w:rsid w:val="006079D8"/>
    <w:rsid w:val="00607ADE"/>
    <w:rsid w:val="00607E68"/>
    <w:rsid w:val="006101AC"/>
    <w:rsid w:val="006102C6"/>
    <w:rsid w:val="006103AE"/>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5F09"/>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DFD"/>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264"/>
    <w:rsid w:val="00642D10"/>
    <w:rsid w:val="00643769"/>
    <w:rsid w:val="006437A9"/>
    <w:rsid w:val="00643973"/>
    <w:rsid w:val="00644200"/>
    <w:rsid w:val="0064428B"/>
    <w:rsid w:val="00644511"/>
    <w:rsid w:val="0064486C"/>
    <w:rsid w:val="00644E60"/>
    <w:rsid w:val="0064552C"/>
    <w:rsid w:val="006457B7"/>
    <w:rsid w:val="00645C7B"/>
    <w:rsid w:val="00646556"/>
    <w:rsid w:val="006469AD"/>
    <w:rsid w:val="006473FF"/>
    <w:rsid w:val="00647CB3"/>
    <w:rsid w:val="00647D60"/>
    <w:rsid w:val="00650150"/>
    <w:rsid w:val="00650854"/>
    <w:rsid w:val="006508EE"/>
    <w:rsid w:val="00650CF1"/>
    <w:rsid w:val="00650D1E"/>
    <w:rsid w:val="00650EB8"/>
    <w:rsid w:val="00650F7C"/>
    <w:rsid w:val="00650FBE"/>
    <w:rsid w:val="006513D5"/>
    <w:rsid w:val="0065150E"/>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966"/>
    <w:rsid w:val="00680A97"/>
    <w:rsid w:val="00680F30"/>
    <w:rsid w:val="00680F81"/>
    <w:rsid w:val="0068102D"/>
    <w:rsid w:val="006819F6"/>
    <w:rsid w:val="0068226B"/>
    <w:rsid w:val="00682318"/>
    <w:rsid w:val="006824E8"/>
    <w:rsid w:val="00682542"/>
    <w:rsid w:val="00682920"/>
    <w:rsid w:val="00682A4A"/>
    <w:rsid w:val="00682ED3"/>
    <w:rsid w:val="0068367C"/>
    <w:rsid w:val="00683D7F"/>
    <w:rsid w:val="00683EF3"/>
    <w:rsid w:val="00684258"/>
    <w:rsid w:val="00685211"/>
    <w:rsid w:val="00685725"/>
    <w:rsid w:val="00685D3B"/>
    <w:rsid w:val="0068623E"/>
    <w:rsid w:val="00686366"/>
    <w:rsid w:val="0068653A"/>
    <w:rsid w:val="006866D8"/>
    <w:rsid w:val="0068673B"/>
    <w:rsid w:val="006868CB"/>
    <w:rsid w:val="00687163"/>
    <w:rsid w:val="0068721F"/>
    <w:rsid w:val="006877FD"/>
    <w:rsid w:val="00687904"/>
    <w:rsid w:val="00690447"/>
    <w:rsid w:val="00690D12"/>
    <w:rsid w:val="00690F0E"/>
    <w:rsid w:val="00691278"/>
    <w:rsid w:val="0069138C"/>
    <w:rsid w:val="006918F9"/>
    <w:rsid w:val="006919C5"/>
    <w:rsid w:val="00691D23"/>
    <w:rsid w:val="00691D43"/>
    <w:rsid w:val="00692007"/>
    <w:rsid w:val="00692521"/>
    <w:rsid w:val="00692602"/>
    <w:rsid w:val="00692799"/>
    <w:rsid w:val="006927F0"/>
    <w:rsid w:val="00692979"/>
    <w:rsid w:val="00692A0D"/>
    <w:rsid w:val="00693077"/>
    <w:rsid w:val="00693295"/>
    <w:rsid w:val="006935FA"/>
    <w:rsid w:val="00693CA1"/>
    <w:rsid w:val="00693E5A"/>
    <w:rsid w:val="006943ED"/>
    <w:rsid w:val="0069447C"/>
    <w:rsid w:val="006949AD"/>
    <w:rsid w:val="00694A09"/>
    <w:rsid w:val="00695291"/>
    <w:rsid w:val="006954FA"/>
    <w:rsid w:val="00695D50"/>
    <w:rsid w:val="00695E95"/>
    <w:rsid w:val="00696244"/>
    <w:rsid w:val="006968C2"/>
    <w:rsid w:val="006969D6"/>
    <w:rsid w:val="00696C33"/>
    <w:rsid w:val="0069755C"/>
    <w:rsid w:val="0069787A"/>
    <w:rsid w:val="006979DC"/>
    <w:rsid w:val="00697C2C"/>
    <w:rsid w:val="006A01FA"/>
    <w:rsid w:val="006A05EF"/>
    <w:rsid w:val="006A0942"/>
    <w:rsid w:val="006A18CF"/>
    <w:rsid w:val="006A18DD"/>
    <w:rsid w:val="006A1B7F"/>
    <w:rsid w:val="006A1ECB"/>
    <w:rsid w:val="006A2245"/>
    <w:rsid w:val="006A2347"/>
    <w:rsid w:val="006A24B3"/>
    <w:rsid w:val="006A2B2B"/>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1FAE"/>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C7"/>
    <w:rsid w:val="006C5FF1"/>
    <w:rsid w:val="006C6287"/>
    <w:rsid w:val="006C677C"/>
    <w:rsid w:val="006C6B5C"/>
    <w:rsid w:val="006C6E3F"/>
    <w:rsid w:val="006C6E92"/>
    <w:rsid w:val="006C75C9"/>
    <w:rsid w:val="006D0233"/>
    <w:rsid w:val="006D03CD"/>
    <w:rsid w:val="006D09CA"/>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3DE0"/>
    <w:rsid w:val="006D43BD"/>
    <w:rsid w:val="006D47AB"/>
    <w:rsid w:val="006D492A"/>
    <w:rsid w:val="006D493C"/>
    <w:rsid w:val="006D4ED6"/>
    <w:rsid w:val="006D4F72"/>
    <w:rsid w:val="006D58A9"/>
    <w:rsid w:val="006D59BF"/>
    <w:rsid w:val="006D5AE7"/>
    <w:rsid w:val="006D5B2C"/>
    <w:rsid w:val="006D5EC2"/>
    <w:rsid w:val="006D5FEF"/>
    <w:rsid w:val="006D615D"/>
    <w:rsid w:val="006D66E3"/>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4EC"/>
    <w:rsid w:val="006E554E"/>
    <w:rsid w:val="006E5D5A"/>
    <w:rsid w:val="006E6077"/>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6B61"/>
    <w:rsid w:val="006F746D"/>
    <w:rsid w:val="006F7A92"/>
    <w:rsid w:val="006F7C53"/>
    <w:rsid w:val="006F7E42"/>
    <w:rsid w:val="00700042"/>
    <w:rsid w:val="0070023A"/>
    <w:rsid w:val="00701493"/>
    <w:rsid w:val="0070179C"/>
    <w:rsid w:val="007017EA"/>
    <w:rsid w:val="0070181F"/>
    <w:rsid w:val="0070193E"/>
    <w:rsid w:val="007019D2"/>
    <w:rsid w:val="00701B27"/>
    <w:rsid w:val="00702BFC"/>
    <w:rsid w:val="00702DFC"/>
    <w:rsid w:val="00703112"/>
    <w:rsid w:val="007034BC"/>
    <w:rsid w:val="007035F6"/>
    <w:rsid w:val="00703661"/>
    <w:rsid w:val="007036E5"/>
    <w:rsid w:val="007038D5"/>
    <w:rsid w:val="007047A7"/>
    <w:rsid w:val="007048DD"/>
    <w:rsid w:val="00704A33"/>
    <w:rsid w:val="00704DEB"/>
    <w:rsid w:val="007052F3"/>
    <w:rsid w:val="0070542C"/>
    <w:rsid w:val="00705487"/>
    <w:rsid w:val="00705584"/>
    <w:rsid w:val="00705E96"/>
    <w:rsid w:val="00706038"/>
    <w:rsid w:val="00706DFB"/>
    <w:rsid w:val="00706E08"/>
    <w:rsid w:val="0070711F"/>
    <w:rsid w:val="0070743B"/>
    <w:rsid w:val="00707AE0"/>
    <w:rsid w:val="00707CFF"/>
    <w:rsid w:val="007101EE"/>
    <w:rsid w:val="00710994"/>
    <w:rsid w:val="007109CD"/>
    <w:rsid w:val="00710A3E"/>
    <w:rsid w:val="00710D33"/>
    <w:rsid w:val="007110CE"/>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37"/>
    <w:rsid w:val="007218A9"/>
    <w:rsid w:val="0072190B"/>
    <w:rsid w:val="007219ED"/>
    <w:rsid w:val="00721E1D"/>
    <w:rsid w:val="007221F1"/>
    <w:rsid w:val="0072296F"/>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50"/>
    <w:rsid w:val="00726281"/>
    <w:rsid w:val="0072665F"/>
    <w:rsid w:val="00726661"/>
    <w:rsid w:val="00727408"/>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61A"/>
    <w:rsid w:val="007546D0"/>
    <w:rsid w:val="00754D64"/>
    <w:rsid w:val="00755692"/>
    <w:rsid w:val="007556A5"/>
    <w:rsid w:val="00755B06"/>
    <w:rsid w:val="00755E06"/>
    <w:rsid w:val="0075639D"/>
    <w:rsid w:val="007564B4"/>
    <w:rsid w:val="007565E2"/>
    <w:rsid w:val="007570A3"/>
    <w:rsid w:val="007572E9"/>
    <w:rsid w:val="00757495"/>
    <w:rsid w:val="007576BE"/>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1ED"/>
    <w:rsid w:val="007743A1"/>
    <w:rsid w:val="007744EF"/>
    <w:rsid w:val="00774836"/>
    <w:rsid w:val="00774B37"/>
    <w:rsid w:val="007750DC"/>
    <w:rsid w:val="00775330"/>
    <w:rsid w:val="00775BAA"/>
    <w:rsid w:val="00775D0E"/>
    <w:rsid w:val="00775EFD"/>
    <w:rsid w:val="00775F11"/>
    <w:rsid w:val="007760CB"/>
    <w:rsid w:val="007762CD"/>
    <w:rsid w:val="0077662D"/>
    <w:rsid w:val="0077674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A1C"/>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B0E"/>
    <w:rsid w:val="00783F0C"/>
    <w:rsid w:val="007840E3"/>
    <w:rsid w:val="007842FE"/>
    <w:rsid w:val="00784702"/>
    <w:rsid w:val="007848B8"/>
    <w:rsid w:val="00784C31"/>
    <w:rsid w:val="00784E6D"/>
    <w:rsid w:val="00784EA1"/>
    <w:rsid w:val="00784FC2"/>
    <w:rsid w:val="00784FC7"/>
    <w:rsid w:val="0078506B"/>
    <w:rsid w:val="007861D1"/>
    <w:rsid w:val="00786272"/>
    <w:rsid w:val="007864B2"/>
    <w:rsid w:val="00786620"/>
    <w:rsid w:val="007868B7"/>
    <w:rsid w:val="00786986"/>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6B7"/>
    <w:rsid w:val="00792D9C"/>
    <w:rsid w:val="00792DB2"/>
    <w:rsid w:val="00792ECC"/>
    <w:rsid w:val="00792F7F"/>
    <w:rsid w:val="00792FCA"/>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781"/>
    <w:rsid w:val="007A1B20"/>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7A1"/>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5B1"/>
    <w:rsid w:val="007B5845"/>
    <w:rsid w:val="007B5A66"/>
    <w:rsid w:val="007B5E5F"/>
    <w:rsid w:val="007B614B"/>
    <w:rsid w:val="007B630D"/>
    <w:rsid w:val="007B697F"/>
    <w:rsid w:val="007B6B04"/>
    <w:rsid w:val="007B7618"/>
    <w:rsid w:val="007C0379"/>
    <w:rsid w:val="007C0880"/>
    <w:rsid w:val="007C0BD2"/>
    <w:rsid w:val="007C0F3A"/>
    <w:rsid w:val="007C1065"/>
    <w:rsid w:val="007C1357"/>
    <w:rsid w:val="007C140F"/>
    <w:rsid w:val="007C1537"/>
    <w:rsid w:val="007C16D7"/>
    <w:rsid w:val="007C1B94"/>
    <w:rsid w:val="007C2277"/>
    <w:rsid w:val="007C286E"/>
    <w:rsid w:val="007C2A39"/>
    <w:rsid w:val="007C3D88"/>
    <w:rsid w:val="007C3EA6"/>
    <w:rsid w:val="007C3F14"/>
    <w:rsid w:val="007C49C4"/>
    <w:rsid w:val="007C4F7A"/>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E3D"/>
    <w:rsid w:val="007D0F76"/>
    <w:rsid w:val="007D11B6"/>
    <w:rsid w:val="007D149C"/>
    <w:rsid w:val="007D1558"/>
    <w:rsid w:val="007D1B7C"/>
    <w:rsid w:val="007D1F9A"/>
    <w:rsid w:val="007D214A"/>
    <w:rsid w:val="007D2306"/>
    <w:rsid w:val="007D357E"/>
    <w:rsid w:val="007D3889"/>
    <w:rsid w:val="007D39A2"/>
    <w:rsid w:val="007D39D7"/>
    <w:rsid w:val="007D3F34"/>
    <w:rsid w:val="007D425D"/>
    <w:rsid w:val="007D4422"/>
    <w:rsid w:val="007D4677"/>
    <w:rsid w:val="007D47E5"/>
    <w:rsid w:val="007D4FF2"/>
    <w:rsid w:val="007D512C"/>
    <w:rsid w:val="007D526F"/>
    <w:rsid w:val="007D5338"/>
    <w:rsid w:val="007D54C0"/>
    <w:rsid w:val="007D573B"/>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89D"/>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91"/>
    <w:rsid w:val="007E7B2B"/>
    <w:rsid w:val="007E7CBA"/>
    <w:rsid w:val="007F05E0"/>
    <w:rsid w:val="007F0B77"/>
    <w:rsid w:val="007F0DD3"/>
    <w:rsid w:val="007F14D7"/>
    <w:rsid w:val="007F18C0"/>
    <w:rsid w:val="007F1AFB"/>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03E"/>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A69"/>
    <w:rsid w:val="00820C85"/>
    <w:rsid w:val="00820DF1"/>
    <w:rsid w:val="0082172C"/>
    <w:rsid w:val="008225A2"/>
    <w:rsid w:val="00823335"/>
    <w:rsid w:val="008237B2"/>
    <w:rsid w:val="00823D4A"/>
    <w:rsid w:val="00823F61"/>
    <w:rsid w:val="0082449E"/>
    <w:rsid w:val="0082483B"/>
    <w:rsid w:val="008249FF"/>
    <w:rsid w:val="008251EC"/>
    <w:rsid w:val="00825C32"/>
    <w:rsid w:val="00825DD4"/>
    <w:rsid w:val="00826204"/>
    <w:rsid w:val="008262FC"/>
    <w:rsid w:val="00826D90"/>
    <w:rsid w:val="00827015"/>
    <w:rsid w:val="00827109"/>
    <w:rsid w:val="00827373"/>
    <w:rsid w:val="00827376"/>
    <w:rsid w:val="0082760E"/>
    <w:rsid w:val="00827648"/>
    <w:rsid w:val="00827A41"/>
    <w:rsid w:val="00827AC5"/>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16"/>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7D6"/>
    <w:rsid w:val="00837FCA"/>
    <w:rsid w:val="008401C3"/>
    <w:rsid w:val="008403BA"/>
    <w:rsid w:val="008404D7"/>
    <w:rsid w:val="00840634"/>
    <w:rsid w:val="00840A68"/>
    <w:rsid w:val="00840A83"/>
    <w:rsid w:val="00840D46"/>
    <w:rsid w:val="00840E87"/>
    <w:rsid w:val="008412EA"/>
    <w:rsid w:val="00841573"/>
    <w:rsid w:val="008419A1"/>
    <w:rsid w:val="00841EA7"/>
    <w:rsid w:val="00841EB3"/>
    <w:rsid w:val="00842061"/>
    <w:rsid w:val="00842DB7"/>
    <w:rsid w:val="008430CD"/>
    <w:rsid w:val="00843388"/>
    <w:rsid w:val="0084351C"/>
    <w:rsid w:val="008436D3"/>
    <w:rsid w:val="0084387F"/>
    <w:rsid w:val="008439ED"/>
    <w:rsid w:val="00843AFD"/>
    <w:rsid w:val="008444F8"/>
    <w:rsid w:val="00844750"/>
    <w:rsid w:val="008453B6"/>
    <w:rsid w:val="00845F51"/>
    <w:rsid w:val="00845F5B"/>
    <w:rsid w:val="00845F6D"/>
    <w:rsid w:val="00846106"/>
    <w:rsid w:val="008462E7"/>
    <w:rsid w:val="00846467"/>
    <w:rsid w:val="00846C5A"/>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4CCA"/>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0C4D"/>
    <w:rsid w:val="008615A2"/>
    <w:rsid w:val="00861B41"/>
    <w:rsid w:val="00861D65"/>
    <w:rsid w:val="00861DA1"/>
    <w:rsid w:val="00862006"/>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32"/>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4CC"/>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A6"/>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060"/>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080"/>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4B8"/>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DA8"/>
    <w:rsid w:val="008B4F28"/>
    <w:rsid w:val="008B535C"/>
    <w:rsid w:val="008B5577"/>
    <w:rsid w:val="008B58AE"/>
    <w:rsid w:val="008B60E9"/>
    <w:rsid w:val="008B60ED"/>
    <w:rsid w:val="008B68DD"/>
    <w:rsid w:val="008B6904"/>
    <w:rsid w:val="008B6CC8"/>
    <w:rsid w:val="008B6E5C"/>
    <w:rsid w:val="008B7394"/>
    <w:rsid w:val="008B766A"/>
    <w:rsid w:val="008B7A0E"/>
    <w:rsid w:val="008C0192"/>
    <w:rsid w:val="008C0B9C"/>
    <w:rsid w:val="008C0D73"/>
    <w:rsid w:val="008C0FB9"/>
    <w:rsid w:val="008C22AB"/>
    <w:rsid w:val="008C2426"/>
    <w:rsid w:val="008C2453"/>
    <w:rsid w:val="008C26B4"/>
    <w:rsid w:val="008C28BA"/>
    <w:rsid w:val="008C30ED"/>
    <w:rsid w:val="008C3240"/>
    <w:rsid w:val="008C3519"/>
    <w:rsid w:val="008C39F9"/>
    <w:rsid w:val="008C407D"/>
    <w:rsid w:val="008C40AD"/>
    <w:rsid w:val="008C4188"/>
    <w:rsid w:val="008C42CE"/>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DE1"/>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71E"/>
    <w:rsid w:val="008E1B76"/>
    <w:rsid w:val="008E1FDF"/>
    <w:rsid w:val="008E2051"/>
    <w:rsid w:val="008E20EC"/>
    <w:rsid w:val="008E24B5"/>
    <w:rsid w:val="008E2562"/>
    <w:rsid w:val="008E290D"/>
    <w:rsid w:val="008E2B47"/>
    <w:rsid w:val="008E2C59"/>
    <w:rsid w:val="008E2D58"/>
    <w:rsid w:val="008E3052"/>
    <w:rsid w:val="008E329C"/>
    <w:rsid w:val="008E330B"/>
    <w:rsid w:val="008E35C0"/>
    <w:rsid w:val="008E378A"/>
    <w:rsid w:val="008E388C"/>
    <w:rsid w:val="008E3974"/>
    <w:rsid w:val="008E3D78"/>
    <w:rsid w:val="008E3F52"/>
    <w:rsid w:val="008E412D"/>
    <w:rsid w:val="008E427C"/>
    <w:rsid w:val="008E4280"/>
    <w:rsid w:val="008E451A"/>
    <w:rsid w:val="008E4820"/>
    <w:rsid w:val="008E4DE6"/>
    <w:rsid w:val="008E51CA"/>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1A1C"/>
    <w:rsid w:val="009022BC"/>
    <w:rsid w:val="0090255A"/>
    <w:rsid w:val="00902734"/>
    <w:rsid w:val="00902997"/>
    <w:rsid w:val="0090300D"/>
    <w:rsid w:val="009030C4"/>
    <w:rsid w:val="00903281"/>
    <w:rsid w:val="009032CC"/>
    <w:rsid w:val="009036A5"/>
    <w:rsid w:val="00903F59"/>
    <w:rsid w:val="00904060"/>
    <w:rsid w:val="0090411E"/>
    <w:rsid w:val="009045C7"/>
    <w:rsid w:val="0090480E"/>
    <w:rsid w:val="0090485F"/>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9C"/>
    <w:rsid w:val="00911E1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10"/>
    <w:rsid w:val="0093457F"/>
    <w:rsid w:val="009355F0"/>
    <w:rsid w:val="00935B52"/>
    <w:rsid w:val="00935E52"/>
    <w:rsid w:val="00936951"/>
    <w:rsid w:val="00936A90"/>
    <w:rsid w:val="009370A6"/>
    <w:rsid w:val="00937AC7"/>
    <w:rsid w:val="00937D15"/>
    <w:rsid w:val="009406F4"/>
    <w:rsid w:val="00940A5D"/>
    <w:rsid w:val="00940BCB"/>
    <w:rsid w:val="00940C1B"/>
    <w:rsid w:val="00940C39"/>
    <w:rsid w:val="00940D85"/>
    <w:rsid w:val="00940DF4"/>
    <w:rsid w:val="00940F45"/>
    <w:rsid w:val="00940FB5"/>
    <w:rsid w:val="0094148B"/>
    <w:rsid w:val="00941A1C"/>
    <w:rsid w:val="00941B97"/>
    <w:rsid w:val="00941CE1"/>
    <w:rsid w:val="00942330"/>
    <w:rsid w:val="00942BB8"/>
    <w:rsid w:val="0094335F"/>
    <w:rsid w:val="00943D09"/>
    <w:rsid w:val="00944202"/>
    <w:rsid w:val="00944335"/>
    <w:rsid w:val="00944710"/>
    <w:rsid w:val="00944AF4"/>
    <w:rsid w:val="00944D54"/>
    <w:rsid w:val="00944EC4"/>
    <w:rsid w:val="00945337"/>
    <w:rsid w:val="0094567F"/>
    <w:rsid w:val="00945A1E"/>
    <w:rsid w:val="00945D81"/>
    <w:rsid w:val="00945E49"/>
    <w:rsid w:val="009462D8"/>
    <w:rsid w:val="00946388"/>
    <w:rsid w:val="009469FE"/>
    <w:rsid w:val="009477BE"/>
    <w:rsid w:val="00950609"/>
    <w:rsid w:val="009506F0"/>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3DF"/>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5F0"/>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5453"/>
    <w:rsid w:val="009A5CCE"/>
    <w:rsid w:val="009A6127"/>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2592"/>
    <w:rsid w:val="009B316A"/>
    <w:rsid w:val="009B3221"/>
    <w:rsid w:val="009B339B"/>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61B"/>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4"/>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D7DC4"/>
    <w:rsid w:val="009E0FC3"/>
    <w:rsid w:val="009E11A9"/>
    <w:rsid w:val="009E1544"/>
    <w:rsid w:val="009E1546"/>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06F"/>
    <w:rsid w:val="009E78D9"/>
    <w:rsid w:val="009E798E"/>
    <w:rsid w:val="009F02E6"/>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5E58"/>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CE3"/>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04B"/>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9C"/>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097"/>
    <w:rsid w:val="00A17345"/>
    <w:rsid w:val="00A1789B"/>
    <w:rsid w:val="00A1791D"/>
    <w:rsid w:val="00A17C1A"/>
    <w:rsid w:val="00A17C7F"/>
    <w:rsid w:val="00A17EE0"/>
    <w:rsid w:val="00A20253"/>
    <w:rsid w:val="00A2049C"/>
    <w:rsid w:val="00A205BF"/>
    <w:rsid w:val="00A2104B"/>
    <w:rsid w:val="00A210E9"/>
    <w:rsid w:val="00A218AE"/>
    <w:rsid w:val="00A21A9D"/>
    <w:rsid w:val="00A21AAA"/>
    <w:rsid w:val="00A21C53"/>
    <w:rsid w:val="00A21E51"/>
    <w:rsid w:val="00A22132"/>
    <w:rsid w:val="00A22207"/>
    <w:rsid w:val="00A2243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98F"/>
    <w:rsid w:val="00A25A28"/>
    <w:rsid w:val="00A261E4"/>
    <w:rsid w:val="00A26200"/>
    <w:rsid w:val="00A26337"/>
    <w:rsid w:val="00A26883"/>
    <w:rsid w:val="00A26D60"/>
    <w:rsid w:val="00A26E54"/>
    <w:rsid w:val="00A26EE0"/>
    <w:rsid w:val="00A27E36"/>
    <w:rsid w:val="00A27ECC"/>
    <w:rsid w:val="00A301E7"/>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6C8"/>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94"/>
    <w:rsid w:val="00A368BB"/>
    <w:rsid w:val="00A36BF1"/>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171"/>
    <w:rsid w:val="00A4339C"/>
    <w:rsid w:val="00A43551"/>
    <w:rsid w:val="00A4449D"/>
    <w:rsid w:val="00A44530"/>
    <w:rsid w:val="00A44882"/>
    <w:rsid w:val="00A44AA5"/>
    <w:rsid w:val="00A44D13"/>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A54"/>
    <w:rsid w:val="00A52D1E"/>
    <w:rsid w:val="00A53552"/>
    <w:rsid w:val="00A53AB6"/>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784"/>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6C"/>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57B"/>
    <w:rsid w:val="00A82655"/>
    <w:rsid w:val="00A82665"/>
    <w:rsid w:val="00A82AEB"/>
    <w:rsid w:val="00A82E6A"/>
    <w:rsid w:val="00A831F0"/>
    <w:rsid w:val="00A834EC"/>
    <w:rsid w:val="00A83AEB"/>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2F0B"/>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44"/>
    <w:rsid w:val="00A9505F"/>
    <w:rsid w:val="00A9526D"/>
    <w:rsid w:val="00A95445"/>
    <w:rsid w:val="00A955A6"/>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92D"/>
    <w:rsid w:val="00AA0A0B"/>
    <w:rsid w:val="00AA158B"/>
    <w:rsid w:val="00AA192D"/>
    <w:rsid w:val="00AA1D12"/>
    <w:rsid w:val="00AA1DBC"/>
    <w:rsid w:val="00AA1EEC"/>
    <w:rsid w:val="00AA1F14"/>
    <w:rsid w:val="00AA210C"/>
    <w:rsid w:val="00AA27F7"/>
    <w:rsid w:val="00AA29F2"/>
    <w:rsid w:val="00AA2CD8"/>
    <w:rsid w:val="00AA2D01"/>
    <w:rsid w:val="00AA2E78"/>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4D7"/>
    <w:rsid w:val="00AA69EF"/>
    <w:rsid w:val="00AA6A93"/>
    <w:rsid w:val="00AA6B64"/>
    <w:rsid w:val="00AA6F9A"/>
    <w:rsid w:val="00AA7B2A"/>
    <w:rsid w:val="00AA7C4F"/>
    <w:rsid w:val="00AB001C"/>
    <w:rsid w:val="00AB003A"/>
    <w:rsid w:val="00AB02C8"/>
    <w:rsid w:val="00AB06B8"/>
    <w:rsid w:val="00AB0ADE"/>
    <w:rsid w:val="00AB0CA0"/>
    <w:rsid w:val="00AB102D"/>
    <w:rsid w:val="00AB1A33"/>
    <w:rsid w:val="00AB1BBE"/>
    <w:rsid w:val="00AB1C99"/>
    <w:rsid w:val="00AB2857"/>
    <w:rsid w:val="00AB3299"/>
    <w:rsid w:val="00AB336A"/>
    <w:rsid w:val="00AB3418"/>
    <w:rsid w:val="00AB3423"/>
    <w:rsid w:val="00AB3491"/>
    <w:rsid w:val="00AB3612"/>
    <w:rsid w:val="00AB3D94"/>
    <w:rsid w:val="00AB3E16"/>
    <w:rsid w:val="00AB3E3E"/>
    <w:rsid w:val="00AB3F13"/>
    <w:rsid w:val="00AB3FF5"/>
    <w:rsid w:val="00AB4157"/>
    <w:rsid w:val="00AB42EA"/>
    <w:rsid w:val="00AB42FF"/>
    <w:rsid w:val="00AB4B78"/>
    <w:rsid w:val="00AB513E"/>
    <w:rsid w:val="00AB53BA"/>
    <w:rsid w:val="00AB5572"/>
    <w:rsid w:val="00AB57AD"/>
    <w:rsid w:val="00AB583A"/>
    <w:rsid w:val="00AB6220"/>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48"/>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98B"/>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41D"/>
    <w:rsid w:val="00AD48F9"/>
    <w:rsid w:val="00AD514B"/>
    <w:rsid w:val="00AD58E2"/>
    <w:rsid w:val="00AD5B9B"/>
    <w:rsid w:val="00AD65BD"/>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33D"/>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949"/>
    <w:rsid w:val="00AF0BA8"/>
    <w:rsid w:val="00AF0E62"/>
    <w:rsid w:val="00AF1414"/>
    <w:rsid w:val="00AF225D"/>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975"/>
    <w:rsid w:val="00AF6AE3"/>
    <w:rsid w:val="00AF6B1B"/>
    <w:rsid w:val="00AF6BCE"/>
    <w:rsid w:val="00AF717F"/>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6BE"/>
    <w:rsid w:val="00B04D36"/>
    <w:rsid w:val="00B04F11"/>
    <w:rsid w:val="00B054CE"/>
    <w:rsid w:val="00B05688"/>
    <w:rsid w:val="00B06102"/>
    <w:rsid w:val="00B0653A"/>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663"/>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3A0D"/>
    <w:rsid w:val="00B24942"/>
    <w:rsid w:val="00B24B9E"/>
    <w:rsid w:val="00B24F48"/>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AF7"/>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84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7EA"/>
    <w:rsid w:val="00B64995"/>
    <w:rsid w:val="00B652B0"/>
    <w:rsid w:val="00B657B5"/>
    <w:rsid w:val="00B65A2A"/>
    <w:rsid w:val="00B65D1C"/>
    <w:rsid w:val="00B664EC"/>
    <w:rsid w:val="00B66758"/>
    <w:rsid w:val="00B66801"/>
    <w:rsid w:val="00B669F5"/>
    <w:rsid w:val="00B66FF7"/>
    <w:rsid w:val="00B6736D"/>
    <w:rsid w:val="00B675E5"/>
    <w:rsid w:val="00B6796C"/>
    <w:rsid w:val="00B67B2B"/>
    <w:rsid w:val="00B67D7F"/>
    <w:rsid w:val="00B70333"/>
    <w:rsid w:val="00B703CE"/>
    <w:rsid w:val="00B70470"/>
    <w:rsid w:val="00B707D8"/>
    <w:rsid w:val="00B70809"/>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6727"/>
    <w:rsid w:val="00B76CD5"/>
    <w:rsid w:val="00B76E9A"/>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84A"/>
    <w:rsid w:val="00B82942"/>
    <w:rsid w:val="00B82ED6"/>
    <w:rsid w:val="00B830F7"/>
    <w:rsid w:val="00B8321E"/>
    <w:rsid w:val="00B83AC3"/>
    <w:rsid w:val="00B83D8E"/>
    <w:rsid w:val="00B83DF6"/>
    <w:rsid w:val="00B8408E"/>
    <w:rsid w:val="00B8463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43"/>
    <w:rsid w:val="00B94253"/>
    <w:rsid w:val="00B9436E"/>
    <w:rsid w:val="00B95056"/>
    <w:rsid w:val="00B950E8"/>
    <w:rsid w:val="00B95242"/>
    <w:rsid w:val="00B95471"/>
    <w:rsid w:val="00B954FC"/>
    <w:rsid w:val="00B957F8"/>
    <w:rsid w:val="00B95A04"/>
    <w:rsid w:val="00B95C49"/>
    <w:rsid w:val="00B95EEF"/>
    <w:rsid w:val="00B9607A"/>
    <w:rsid w:val="00B96228"/>
    <w:rsid w:val="00B96313"/>
    <w:rsid w:val="00B96A58"/>
    <w:rsid w:val="00B96ABF"/>
    <w:rsid w:val="00B96CBF"/>
    <w:rsid w:val="00B96CF0"/>
    <w:rsid w:val="00B96DA2"/>
    <w:rsid w:val="00B977E6"/>
    <w:rsid w:val="00B97B85"/>
    <w:rsid w:val="00B97E3F"/>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53E"/>
    <w:rsid w:val="00BB070E"/>
    <w:rsid w:val="00BB0B3E"/>
    <w:rsid w:val="00BB0D75"/>
    <w:rsid w:val="00BB0FE6"/>
    <w:rsid w:val="00BB1211"/>
    <w:rsid w:val="00BB1393"/>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440"/>
    <w:rsid w:val="00BC0854"/>
    <w:rsid w:val="00BC1382"/>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5FF"/>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5AD"/>
    <w:rsid w:val="00BD5A26"/>
    <w:rsid w:val="00BD5CD4"/>
    <w:rsid w:val="00BD5FA4"/>
    <w:rsid w:val="00BD6509"/>
    <w:rsid w:val="00BD689C"/>
    <w:rsid w:val="00BD6A22"/>
    <w:rsid w:val="00BD6D88"/>
    <w:rsid w:val="00BD754A"/>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BF7E03"/>
    <w:rsid w:val="00C00F1A"/>
    <w:rsid w:val="00C010F5"/>
    <w:rsid w:val="00C01305"/>
    <w:rsid w:val="00C0150C"/>
    <w:rsid w:val="00C01835"/>
    <w:rsid w:val="00C02192"/>
    <w:rsid w:val="00C023FA"/>
    <w:rsid w:val="00C02827"/>
    <w:rsid w:val="00C02B71"/>
    <w:rsid w:val="00C02CDE"/>
    <w:rsid w:val="00C0350D"/>
    <w:rsid w:val="00C03644"/>
    <w:rsid w:val="00C039B6"/>
    <w:rsid w:val="00C03B7B"/>
    <w:rsid w:val="00C03CF4"/>
    <w:rsid w:val="00C040B8"/>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1D2"/>
    <w:rsid w:val="00C10599"/>
    <w:rsid w:val="00C106DF"/>
    <w:rsid w:val="00C10857"/>
    <w:rsid w:val="00C1114F"/>
    <w:rsid w:val="00C11183"/>
    <w:rsid w:val="00C11197"/>
    <w:rsid w:val="00C11C33"/>
    <w:rsid w:val="00C11C73"/>
    <w:rsid w:val="00C11FE5"/>
    <w:rsid w:val="00C11FF6"/>
    <w:rsid w:val="00C120E0"/>
    <w:rsid w:val="00C123E0"/>
    <w:rsid w:val="00C1286D"/>
    <w:rsid w:val="00C12EB5"/>
    <w:rsid w:val="00C134A1"/>
    <w:rsid w:val="00C13504"/>
    <w:rsid w:val="00C1399B"/>
    <w:rsid w:val="00C13C8A"/>
    <w:rsid w:val="00C13C9C"/>
    <w:rsid w:val="00C13F22"/>
    <w:rsid w:val="00C13F33"/>
    <w:rsid w:val="00C140FE"/>
    <w:rsid w:val="00C147B9"/>
    <w:rsid w:val="00C14C0C"/>
    <w:rsid w:val="00C14F4D"/>
    <w:rsid w:val="00C15135"/>
    <w:rsid w:val="00C159ED"/>
    <w:rsid w:val="00C15FFF"/>
    <w:rsid w:val="00C16349"/>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517"/>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C4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6BE6"/>
    <w:rsid w:val="00C470AA"/>
    <w:rsid w:val="00C4740A"/>
    <w:rsid w:val="00C47838"/>
    <w:rsid w:val="00C47AE8"/>
    <w:rsid w:val="00C508B7"/>
    <w:rsid w:val="00C51B85"/>
    <w:rsid w:val="00C51D11"/>
    <w:rsid w:val="00C5257E"/>
    <w:rsid w:val="00C52A41"/>
    <w:rsid w:val="00C52A73"/>
    <w:rsid w:val="00C531B4"/>
    <w:rsid w:val="00C532F9"/>
    <w:rsid w:val="00C53E22"/>
    <w:rsid w:val="00C5413F"/>
    <w:rsid w:val="00C5430E"/>
    <w:rsid w:val="00C54C62"/>
    <w:rsid w:val="00C55999"/>
    <w:rsid w:val="00C55ADC"/>
    <w:rsid w:val="00C55CE2"/>
    <w:rsid w:val="00C5638E"/>
    <w:rsid w:val="00C56491"/>
    <w:rsid w:val="00C56918"/>
    <w:rsid w:val="00C569CA"/>
    <w:rsid w:val="00C56C48"/>
    <w:rsid w:val="00C5707E"/>
    <w:rsid w:val="00C57143"/>
    <w:rsid w:val="00C57A4B"/>
    <w:rsid w:val="00C57CC6"/>
    <w:rsid w:val="00C60002"/>
    <w:rsid w:val="00C601EB"/>
    <w:rsid w:val="00C603F8"/>
    <w:rsid w:val="00C60EC1"/>
    <w:rsid w:val="00C60FFC"/>
    <w:rsid w:val="00C6119C"/>
    <w:rsid w:val="00C61B02"/>
    <w:rsid w:val="00C61FD6"/>
    <w:rsid w:val="00C62027"/>
    <w:rsid w:val="00C62163"/>
    <w:rsid w:val="00C6279A"/>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90E"/>
    <w:rsid w:val="00C66A25"/>
    <w:rsid w:val="00C66AC7"/>
    <w:rsid w:val="00C66B89"/>
    <w:rsid w:val="00C66C34"/>
    <w:rsid w:val="00C67231"/>
    <w:rsid w:val="00C70134"/>
    <w:rsid w:val="00C7040D"/>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7C1"/>
    <w:rsid w:val="00C75970"/>
    <w:rsid w:val="00C75AC4"/>
    <w:rsid w:val="00C75B22"/>
    <w:rsid w:val="00C75C9D"/>
    <w:rsid w:val="00C75ED0"/>
    <w:rsid w:val="00C76A56"/>
    <w:rsid w:val="00C76A6B"/>
    <w:rsid w:val="00C76F37"/>
    <w:rsid w:val="00C7731D"/>
    <w:rsid w:val="00C7799E"/>
    <w:rsid w:val="00C77C55"/>
    <w:rsid w:val="00C77DF7"/>
    <w:rsid w:val="00C80547"/>
    <w:rsid w:val="00C808E1"/>
    <w:rsid w:val="00C80C97"/>
    <w:rsid w:val="00C8198E"/>
    <w:rsid w:val="00C81B30"/>
    <w:rsid w:val="00C82387"/>
    <w:rsid w:val="00C823AF"/>
    <w:rsid w:val="00C8329E"/>
    <w:rsid w:val="00C836F2"/>
    <w:rsid w:val="00C84332"/>
    <w:rsid w:val="00C84EEF"/>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D1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6A6E"/>
    <w:rsid w:val="00CA7202"/>
    <w:rsid w:val="00CA7300"/>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39"/>
    <w:rsid w:val="00CB3886"/>
    <w:rsid w:val="00CB4168"/>
    <w:rsid w:val="00CB480A"/>
    <w:rsid w:val="00CB4FA5"/>
    <w:rsid w:val="00CB510D"/>
    <w:rsid w:val="00CB558B"/>
    <w:rsid w:val="00CB5760"/>
    <w:rsid w:val="00CB58DD"/>
    <w:rsid w:val="00CB590E"/>
    <w:rsid w:val="00CB5A9F"/>
    <w:rsid w:val="00CB5EF8"/>
    <w:rsid w:val="00CB5F45"/>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16A"/>
    <w:rsid w:val="00CC2559"/>
    <w:rsid w:val="00CC2664"/>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67"/>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2A"/>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E3"/>
    <w:rsid w:val="00CD492B"/>
    <w:rsid w:val="00CD50EE"/>
    <w:rsid w:val="00CD5423"/>
    <w:rsid w:val="00CD5C02"/>
    <w:rsid w:val="00CD61E3"/>
    <w:rsid w:val="00CD6804"/>
    <w:rsid w:val="00CD6814"/>
    <w:rsid w:val="00CD6E0B"/>
    <w:rsid w:val="00CD7159"/>
    <w:rsid w:val="00CD786D"/>
    <w:rsid w:val="00CD787F"/>
    <w:rsid w:val="00CE025E"/>
    <w:rsid w:val="00CE030D"/>
    <w:rsid w:val="00CE03B6"/>
    <w:rsid w:val="00CE05F2"/>
    <w:rsid w:val="00CE0B01"/>
    <w:rsid w:val="00CE0CBF"/>
    <w:rsid w:val="00CE0CD6"/>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440C"/>
    <w:rsid w:val="00CE5086"/>
    <w:rsid w:val="00CE5112"/>
    <w:rsid w:val="00CE5A7F"/>
    <w:rsid w:val="00CE5E50"/>
    <w:rsid w:val="00CE697C"/>
    <w:rsid w:val="00CE698C"/>
    <w:rsid w:val="00CE69F3"/>
    <w:rsid w:val="00CE6A2B"/>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5E6E"/>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C8C"/>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59"/>
    <w:rsid w:val="00D11FAE"/>
    <w:rsid w:val="00D12251"/>
    <w:rsid w:val="00D12440"/>
    <w:rsid w:val="00D12487"/>
    <w:rsid w:val="00D126E6"/>
    <w:rsid w:val="00D12A81"/>
    <w:rsid w:val="00D12B75"/>
    <w:rsid w:val="00D12EB0"/>
    <w:rsid w:val="00D13880"/>
    <w:rsid w:val="00D13BBC"/>
    <w:rsid w:val="00D13CCD"/>
    <w:rsid w:val="00D14204"/>
    <w:rsid w:val="00D14892"/>
    <w:rsid w:val="00D14C8A"/>
    <w:rsid w:val="00D14E26"/>
    <w:rsid w:val="00D15CFC"/>
    <w:rsid w:val="00D15D9D"/>
    <w:rsid w:val="00D15E0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02"/>
    <w:rsid w:val="00D22148"/>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786"/>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3D7"/>
    <w:rsid w:val="00D3646C"/>
    <w:rsid w:val="00D3668C"/>
    <w:rsid w:val="00D366D3"/>
    <w:rsid w:val="00D368DF"/>
    <w:rsid w:val="00D369EA"/>
    <w:rsid w:val="00D36C8E"/>
    <w:rsid w:val="00D36E61"/>
    <w:rsid w:val="00D36EEC"/>
    <w:rsid w:val="00D370D6"/>
    <w:rsid w:val="00D3768D"/>
    <w:rsid w:val="00D37C2D"/>
    <w:rsid w:val="00D400AD"/>
    <w:rsid w:val="00D404CE"/>
    <w:rsid w:val="00D40BE3"/>
    <w:rsid w:val="00D40E25"/>
    <w:rsid w:val="00D40E78"/>
    <w:rsid w:val="00D41009"/>
    <w:rsid w:val="00D41281"/>
    <w:rsid w:val="00D41901"/>
    <w:rsid w:val="00D41CD0"/>
    <w:rsid w:val="00D421D9"/>
    <w:rsid w:val="00D422E4"/>
    <w:rsid w:val="00D42677"/>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5B3"/>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4B6"/>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0F9A"/>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BA5"/>
    <w:rsid w:val="00D80C93"/>
    <w:rsid w:val="00D80CCB"/>
    <w:rsid w:val="00D810AD"/>
    <w:rsid w:val="00D81307"/>
    <w:rsid w:val="00D817FD"/>
    <w:rsid w:val="00D81C74"/>
    <w:rsid w:val="00D81E9C"/>
    <w:rsid w:val="00D820A7"/>
    <w:rsid w:val="00D820F3"/>
    <w:rsid w:val="00D824B0"/>
    <w:rsid w:val="00D829AC"/>
    <w:rsid w:val="00D83401"/>
    <w:rsid w:val="00D83A89"/>
    <w:rsid w:val="00D83DAF"/>
    <w:rsid w:val="00D84268"/>
    <w:rsid w:val="00D846C5"/>
    <w:rsid w:val="00D84B58"/>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395"/>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0B5"/>
    <w:rsid w:val="00DA3B43"/>
    <w:rsid w:val="00DA3BE7"/>
    <w:rsid w:val="00DA3F00"/>
    <w:rsid w:val="00DA43CA"/>
    <w:rsid w:val="00DA46AB"/>
    <w:rsid w:val="00DA4735"/>
    <w:rsid w:val="00DA492A"/>
    <w:rsid w:val="00DA4B10"/>
    <w:rsid w:val="00DA4BDB"/>
    <w:rsid w:val="00DA4D11"/>
    <w:rsid w:val="00DA50C0"/>
    <w:rsid w:val="00DA5A53"/>
    <w:rsid w:val="00DA5CA9"/>
    <w:rsid w:val="00DA5E7E"/>
    <w:rsid w:val="00DA6759"/>
    <w:rsid w:val="00DA6A59"/>
    <w:rsid w:val="00DA714A"/>
    <w:rsid w:val="00DA71AF"/>
    <w:rsid w:val="00DA71FA"/>
    <w:rsid w:val="00DA727D"/>
    <w:rsid w:val="00DA7954"/>
    <w:rsid w:val="00DA7A85"/>
    <w:rsid w:val="00DA7BC7"/>
    <w:rsid w:val="00DA7E4C"/>
    <w:rsid w:val="00DB0487"/>
    <w:rsid w:val="00DB0564"/>
    <w:rsid w:val="00DB1539"/>
    <w:rsid w:val="00DB191A"/>
    <w:rsid w:val="00DB1D7B"/>
    <w:rsid w:val="00DB1DEC"/>
    <w:rsid w:val="00DB1F98"/>
    <w:rsid w:val="00DB2551"/>
    <w:rsid w:val="00DB2D10"/>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3BE"/>
    <w:rsid w:val="00DB6500"/>
    <w:rsid w:val="00DB6598"/>
    <w:rsid w:val="00DB6646"/>
    <w:rsid w:val="00DB68FF"/>
    <w:rsid w:val="00DB6FA9"/>
    <w:rsid w:val="00DB71FD"/>
    <w:rsid w:val="00DB7427"/>
    <w:rsid w:val="00DB749A"/>
    <w:rsid w:val="00DB7D62"/>
    <w:rsid w:val="00DB7D8C"/>
    <w:rsid w:val="00DB7E8C"/>
    <w:rsid w:val="00DC061B"/>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85B"/>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8E0"/>
    <w:rsid w:val="00DD2F7D"/>
    <w:rsid w:val="00DD2FE5"/>
    <w:rsid w:val="00DD30D4"/>
    <w:rsid w:val="00DD31F5"/>
    <w:rsid w:val="00DD3401"/>
    <w:rsid w:val="00DD3430"/>
    <w:rsid w:val="00DD3480"/>
    <w:rsid w:val="00DD3565"/>
    <w:rsid w:val="00DD360E"/>
    <w:rsid w:val="00DD3B33"/>
    <w:rsid w:val="00DD3B4D"/>
    <w:rsid w:val="00DD3B9B"/>
    <w:rsid w:val="00DD3EDD"/>
    <w:rsid w:val="00DD49D3"/>
    <w:rsid w:val="00DD5528"/>
    <w:rsid w:val="00DD6396"/>
    <w:rsid w:val="00DD642D"/>
    <w:rsid w:val="00DD6C70"/>
    <w:rsid w:val="00DD6CED"/>
    <w:rsid w:val="00DD6DA2"/>
    <w:rsid w:val="00DD761C"/>
    <w:rsid w:val="00DD7D76"/>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41C"/>
    <w:rsid w:val="00DF7879"/>
    <w:rsid w:val="00E000AA"/>
    <w:rsid w:val="00E004D1"/>
    <w:rsid w:val="00E00633"/>
    <w:rsid w:val="00E00A07"/>
    <w:rsid w:val="00E00C3D"/>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14"/>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C31"/>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C3"/>
    <w:rsid w:val="00E272FE"/>
    <w:rsid w:val="00E27724"/>
    <w:rsid w:val="00E30517"/>
    <w:rsid w:val="00E305B5"/>
    <w:rsid w:val="00E30608"/>
    <w:rsid w:val="00E3070A"/>
    <w:rsid w:val="00E30A72"/>
    <w:rsid w:val="00E30ABC"/>
    <w:rsid w:val="00E30D53"/>
    <w:rsid w:val="00E312CB"/>
    <w:rsid w:val="00E31371"/>
    <w:rsid w:val="00E31506"/>
    <w:rsid w:val="00E315DA"/>
    <w:rsid w:val="00E3210F"/>
    <w:rsid w:val="00E3247C"/>
    <w:rsid w:val="00E327EE"/>
    <w:rsid w:val="00E32E0E"/>
    <w:rsid w:val="00E330DC"/>
    <w:rsid w:val="00E33802"/>
    <w:rsid w:val="00E33814"/>
    <w:rsid w:val="00E339C6"/>
    <w:rsid w:val="00E33BB9"/>
    <w:rsid w:val="00E33E4D"/>
    <w:rsid w:val="00E3457A"/>
    <w:rsid w:val="00E34F08"/>
    <w:rsid w:val="00E3506A"/>
    <w:rsid w:val="00E35705"/>
    <w:rsid w:val="00E35F47"/>
    <w:rsid w:val="00E362BC"/>
    <w:rsid w:val="00E377BF"/>
    <w:rsid w:val="00E37C25"/>
    <w:rsid w:val="00E37EB7"/>
    <w:rsid w:val="00E4030B"/>
    <w:rsid w:val="00E40362"/>
    <w:rsid w:val="00E40954"/>
    <w:rsid w:val="00E40DAE"/>
    <w:rsid w:val="00E41A3E"/>
    <w:rsid w:val="00E41D2F"/>
    <w:rsid w:val="00E42661"/>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40"/>
    <w:rsid w:val="00E538E0"/>
    <w:rsid w:val="00E53EAE"/>
    <w:rsid w:val="00E53FBB"/>
    <w:rsid w:val="00E548A8"/>
    <w:rsid w:val="00E54C37"/>
    <w:rsid w:val="00E54D33"/>
    <w:rsid w:val="00E5515E"/>
    <w:rsid w:val="00E556A3"/>
    <w:rsid w:val="00E5576D"/>
    <w:rsid w:val="00E55BCA"/>
    <w:rsid w:val="00E55F3F"/>
    <w:rsid w:val="00E5711F"/>
    <w:rsid w:val="00E5719D"/>
    <w:rsid w:val="00E5765B"/>
    <w:rsid w:val="00E57A8F"/>
    <w:rsid w:val="00E6000E"/>
    <w:rsid w:val="00E602C9"/>
    <w:rsid w:val="00E608B7"/>
    <w:rsid w:val="00E60F80"/>
    <w:rsid w:val="00E6119B"/>
    <w:rsid w:val="00E61764"/>
    <w:rsid w:val="00E61A52"/>
    <w:rsid w:val="00E61DAC"/>
    <w:rsid w:val="00E624DA"/>
    <w:rsid w:val="00E6275F"/>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6F1"/>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14D"/>
    <w:rsid w:val="00EA5335"/>
    <w:rsid w:val="00EA6506"/>
    <w:rsid w:val="00EA6803"/>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140"/>
    <w:rsid w:val="00EB1705"/>
    <w:rsid w:val="00EB1D4D"/>
    <w:rsid w:val="00EB1E07"/>
    <w:rsid w:val="00EB2435"/>
    <w:rsid w:val="00EB269A"/>
    <w:rsid w:val="00EB2A1D"/>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914"/>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20A"/>
    <w:rsid w:val="00ED24AE"/>
    <w:rsid w:val="00ED24BA"/>
    <w:rsid w:val="00ED2A3F"/>
    <w:rsid w:val="00ED2B63"/>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0D7"/>
    <w:rsid w:val="00EF447D"/>
    <w:rsid w:val="00EF493B"/>
    <w:rsid w:val="00EF4F32"/>
    <w:rsid w:val="00EF5247"/>
    <w:rsid w:val="00EF5326"/>
    <w:rsid w:val="00EF5593"/>
    <w:rsid w:val="00EF5861"/>
    <w:rsid w:val="00EF6141"/>
    <w:rsid w:val="00EF63FC"/>
    <w:rsid w:val="00EF6A3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96"/>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07B"/>
    <w:rsid w:val="00F0650D"/>
    <w:rsid w:val="00F06D91"/>
    <w:rsid w:val="00F06F02"/>
    <w:rsid w:val="00F0738D"/>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18D"/>
    <w:rsid w:val="00F25EB4"/>
    <w:rsid w:val="00F25F12"/>
    <w:rsid w:val="00F2617C"/>
    <w:rsid w:val="00F2643A"/>
    <w:rsid w:val="00F26886"/>
    <w:rsid w:val="00F2699C"/>
    <w:rsid w:val="00F26AF5"/>
    <w:rsid w:val="00F26B24"/>
    <w:rsid w:val="00F27B84"/>
    <w:rsid w:val="00F27E0C"/>
    <w:rsid w:val="00F3002F"/>
    <w:rsid w:val="00F30031"/>
    <w:rsid w:val="00F30353"/>
    <w:rsid w:val="00F308C0"/>
    <w:rsid w:val="00F309D2"/>
    <w:rsid w:val="00F310F8"/>
    <w:rsid w:val="00F315C5"/>
    <w:rsid w:val="00F317A9"/>
    <w:rsid w:val="00F318B3"/>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CEE"/>
    <w:rsid w:val="00F35E92"/>
    <w:rsid w:val="00F3615B"/>
    <w:rsid w:val="00F36190"/>
    <w:rsid w:val="00F363CC"/>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5"/>
    <w:rsid w:val="00F61158"/>
    <w:rsid w:val="00F61564"/>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989"/>
    <w:rsid w:val="00F64D85"/>
    <w:rsid w:val="00F64F9F"/>
    <w:rsid w:val="00F6522A"/>
    <w:rsid w:val="00F660B8"/>
    <w:rsid w:val="00F6624A"/>
    <w:rsid w:val="00F6658E"/>
    <w:rsid w:val="00F669E3"/>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680"/>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B9F"/>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1DEC"/>
    <w:rsid w:val="00FB22E5"/>
    <w:rsid w:val="00FB2803"/>
    <w:rsid w:val="00FB2864"/>
    <w:rsid w:val="00FB2F94"/>
    <w:rsid w:val="00FB35AB"/>
    <w:rsid w:val="00FB38EA"/>
    <w:rsid w:val="00FB3CD6"/>
    <w:rsid w:val="00FB4065"/>
    <w:rsid w:val="00FB44CB"/>
    <w:rsid w:val="00FB4760"/>
    <w:rsid w:val="00FB47B5"/>
    <w:rsid w:val="00FB483A"/>
    <w:rsid w:val="00FB52FD"/>
    <w:rsid w:val="00FB57A7"/>
    <w:rsid w:val="00FB57FA"/>
    <w:rsid w:val="00FB5A6F"/>
    <w:rsid w:val="00FB5D73"/>
    <w:rsid w:val="00FB6401"/>
    <w:rsid w:val="00FB66B5"/>
    <w:rsid w:val="00FB6730"/>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1E85"/>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3AA"/>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3B9A"/>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572"/>
    <w:pPr>
      <w:autoSpaceDE w:val="0"/>
      <w:autoSpaceDN w:val="0"/>
      <w:adjustRightInd w:val="0"/>
    </w:pPr>
    <w:rPr>
      <w:rFonts w:ascii="Arial" w:hAnsi="Arial" w:cs="Arial"/>
      <w:color w:val="000000"/>
      <w:sz w:val="24"/>
      <w:szCs w:val="24"/>
    </w:rPr>
  </w:style>
  <w:style w:type="paragraph" w:customStyle="1" w:styleId="2222">
    <w:name w:val="스타일 스타일 스타일 스타일 양쪽 첫 줄:  2 글자 + 첫 줄:  2 글자 + 첫 줄:  2 글자 + 첫 줄:  2..."/>
    <w:basedOn w:val="Normal"/>
    <w:link w:val="2222Char"/>
    <w:rsid w:val="003908D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3908DC"/>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05194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82850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422693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6033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198085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582800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178368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FA843-33E9-4ACD-8F3B-ECD53ED70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BA377C-250C-419E-9C3B-F7220E74C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TotalTime>
  <Pages>7</Pages>
  <Words>1268</Words>
  <Characters>7230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Victor</cp:lastModifiedBy>
  <cp:revision>215</cp:revision>
  <cp:lastPrinted>2011-11-09T07:49:00Z</cp:lastPrinted>
  <dcterms:created xsi:type="dcterms:W3CDTF">2020-04-11T04:37:00Z</dcterms:created>
  <dcterms:modified xsi:type="dcterms:W3CDTF">2021-10-02T05:28:00Z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851097ea-9847-4f56-a7f6-782747859354</vt:lpwstr>
  </property>
  <property fmtid="{D5CDD505-2E9C-101B-9397-08002B2CF9AE}" pid="10" name="CTP_BU">
    <vt:lpwstr>NA</vt:lpwstr>
  </property>
  <property fmtid="{D5CDD505-2E9C-101B-9397-08002B2CF9AE}" pid="11" name="CTP_TimeStamp">
    <vt:lpwstr>2020-05-14 05:03:54Z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